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F3980" w14:textId="77777777" w:rsidR="00B62810" w:rsidRDefault="007A0F62" w:rsidP="00511909">
      <w:pPr>
        <w:pStyle w:val="BodyA"/>
        <w:spacing w:line="276" w:lineRule="auto"/>
        <w:jc w:val="both"/>
      </w:pPr>
      <w:r>
        <w:rPr>
          <w:rStyle w:val="BrakA"/>
          <w:noProof/>
        </w:rPr>
        <mc:AlternateContent>
          <mc:Choice Requires="wps">
            <w:drawing>
              <wp:anchor distT="152082" distB="152082" distL="152082" distR="152082" simplePos="0" relativeHeight="251659264" behindDoc="0" locked="0" layoutInCell="1" allowOverlap="1" wp14:anchorId="2B9422D3" wp14:editId="6D08C47A">
                <wp:simplePos x="0" y="0"/>
                <wp:positionH relativeFrom="page">
                  <wp:posOffset>1991995</wp:posOffset>
                </wp:positionH>
                <wp:positionV relativeFrom="line">
                  <wp:posOffset>1720850</wp:posOffset>
                </wp:positionV>
                <wp:extent cx="3559175" cy="2750648"/>
                <wp:effectExtent l="0" t="0" r="0" b="0"/>
                <wp:wrapTopAndBottom distT="152082" distB="152082"/>
                <wp:docPr id="1073741825" name="officeArt object" descr="Shape 2"/>
                <wp:cNvGraphicFramePr/>
                <a:graphic xmlns:a="http://schemas.openxmlformats.org/drawingml/2006/main">
                  <a:graphicData uri="http://schemas.microsoft.com/office/word/2010/wordprocessingShape">
                    <wps:wsp>
                      <wps:cNvSpPr txBox="1"/>
                      <wps:spPr>
                        <a:xfrm>
                          <a:off x="0" y="0"/>
                          <a:ext cx="3559175" cy="2750648"/>
                        </a:xfrm>
                        <a:prstGeom prst="rect">
                          <a:avLst/>
                        </a:prstGeom>
                        <a:noFill/>
                        <a:ln w="12700" cap="flat">
                          <a:noFill/>
                          <a:miter lim="400000"/>
                        </a:ln>
                        <a:effectLst/>
                      </wps:spPr>
                      <wps:txbx>
                        <w:txbxContent>
                          <w:p w14:paraId="2A8BD610" w14:textId="77777777" w:rsidR="00B62810" w:rsidRDefault="00B62810">
                            <w:pPr>
                              <w:pStyle w:val="BodyA"/>
                              <w:jc w:val="both"/>
                            </w:pPr>
                          </w:p>
                          <w:p w14:paraId="519FFFC0" w14:textId="77777777" w:rsidR="00B62810" w:rsidRDefault="007A0F62">
                            <w:pPr>
                              <w:pStyle w:val="BodyA"/>
                              <w:jc w:val="center"/>
                            </w:pPr>
                            <w:r>
                              <w:rPr>
                                <w:rFonts w:ascii="Calibri" w:hAnsi="Calibri"/>
                                <w:b/>
                                <w:bCs/>
                                <w:smallCaps/>
                                <w:sz w:val="52"/>
                                <w:szCs w:val="52"/>
                                <w:u w:color="000000"/>
                              </w:rPr>
                              <w:t xml:space="preserve">Zagraniczny Ośrodek </w:t>
                            </w:r>
                          </w:p>
                          <w:p w14:paraId="02233DB9" w14:textId="77777777" w:rsidR="00B62810" w:rsidRDefault="007A0F62">
                            <w:pPr>
                              <w:pStyle w:val="BodyA"/>
                              <w:jc w:val="center"/>
                              <w:rPr>
                                <w:rFonts w:ascii="Calibri" w:eastAsia="Calibri" w:hAnsi="Calibri" w:cs="Calibri"/>
                                <w:b/>
                                <w:bCs/>
                                <w:smallCaps/>
                                <w:sz w:val="52"/>
                                <w:szCs w:val="52"/>
                                <w:u w:color="000000"/>
                              </w:rPr>
                            </w:pPr>
                            <w:r>
                              <w:rPr>
                                <w:rFonts w:ascii="Calibri" w:hAnsi="Calibri"/>
                                <w:b/>
                                <w:bCs/>
                                <w:smallCaps/>
                                <w:sz w:val="52"/>
                                <w:szCs w:val="52"/>
                                <w:u w:color="000000"/>
                              </w:rPr>
                              <w:t>Polskiej Organizacji</w:t>
                            </w:r>
                          </w:p>
                          <w:p w14:paraId="1D0394F0" w14:textId="77777777" w:rsidR="00B62810" w:rsidRDefault="007A0F62">
                            <w:pPr>
                              <w:pStyle w:val="BodyA"/>
                              <w:jc w:val="center"/>
                            </w:pPr>
                            <w:r>
                              <w:rPr>
                                <w:rFonts w:ascii="Calibri" w:hAnsi="Calibri"/>
                                <w:b/>
                                <w:bCs/>
                                <w:smallCaps/>
                                <w:sz w:val="52"/>
                                <w:szCs w:val="52"/>
                                <w:u w:color="000000"/>
                              </w:rPr>
                              <w:t>Turystycznej</w:t>
                            </w:r>
                          </w:p>
                          <w:p w14:paraId="2D756D8B" w14:textId="77777777" w:rsidR="00B62810" w:rsidRDefault="007A0F62">
                            <w:pPr>
                              <w:pStyle w:val="BodyA"/>
                              <w:jc w:val="center"/>
                            </w:pPr>
                            <w:r>
                              <w:rPr>
                                <w:rFonts w:ascii="Calibri" w:hAnsi="Calibri"/>
                                <w:b/>
                                <w:bCs/>
                                <w:smallCaps/>
                                <w:sz w:val="52"/>
                                <w:szCs w:val="52"/>
                                <w:u w:color="000000"/>
                              </w:rPr>
                              <w:t>w Sztokholmie</w:t>
                            </w:r>
                          </w:p>
                          <w:p w14:paraId="0CF83A60" w14:textId="77777777" w:rsidR="00B62810" w:rsidRDefault="007A0F62">
                            <w:pPr>
                              <w:pStyle w:val="BodyA"/>
                              <w:jc w:val="center"/>
                            </w:pPr>
                            <w:r>
                              <w:rPr>
                                <w:rFonts w:ascii="Calibri" w:hAnsi="Calibri"/>
                                <w:b/>
                                <w:bCs/>
                                <w:smallCaps/>
                                <w:sz w:val="52"/>
                                <w:szCs w:val="52"/>
                                <w:u w:color="000000"/>
                              </w:rPr>
                              <w:t>sprawozdanie</w:t>
                            </w:r>
                          </w:p>
                          <w:p w14:paraId="29E4364A" w14:textId="77777777" w:rsidR="00B62810" w:rsidRDefault="007A0F62">
                            <w:pPr>
                              <w:pStyle w:val="BodyA"/>
                              <w:jc w:val="center"/>
                            </w:pPr>
                            <w:r>
                              <w:rPr>
                                <w:rFonts w:ascii="Calibri" w:hAnsi="Calibri"/>
                                <w:b/>
                                <w:bCs/>
                                <w:smallCaps/>
                                <w:sz w:val="52"/>
                                <w:szCs w:val="52"/>
                                <w:u w:color="000000"/>
                              </w:rPr>
                              <w:t>rok 2023</w:t>
                            </w:r>
                          </w:p>
                        </w:txbxContent>
                      </wps:txbx>
                      <wps:bodyPr wrap="square" lIns="0" tIns="0" rIns="0" bIns="0" numCol="1" anchor="t">
                        <a:noAutofit/>
                      </wps:bodyPr>
                    </wps:wsp>
                  </a:graphicData>
                </a:graphic>
              </wp:anchor>
            </w:drawing>
          </mc:Choice>
          <mc:Fallback>
            <w:pict>
              <v:shapetype w14:anchorId="2B9422D3" id="_x0000_t202" coordsize="21600,21600" o:spt="202" path="m,l,21600r21600,l21600,xe">
                <v:stroke joinstyle="miter"/>
                <v:path gradientshapeok="t" o:connecttype="rect"/>
              </v:shapetype>
              <v:shape id="officeArt object" o:spid="_x0000_s1026" type="#_x0000_t202" alt="Shape 2" style="position:absolute;left:0;text-align:left;margin-left:156.85pt;margin-top:135.5pt;width:280.25pt;height:216.6pt;z-index:251659264;visibility:visible;mso-wrap-style:square;mso-wrap-distance-left:4.2245mm;mso-wrap-distance-top:4.2245mm;mso-wrap-distance-right:4.2245mm;mso-wrap-distance-bottom:4.2245mm;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" filled="f" stroked="f" strokeweight="1pt">
                <v:stroke miterlimit="4"/>
                <v:textbox inset="0,0,0,0">
                  <w:txbxContent>
                    <w:p w14:paraId="2A8BD610" w14:textId="77777777" w:rsidR="00B62810" w:rsidRDefault="00B62810">
                      <w:pPr>
                        <w:pStyle w:val="BodyA"/>
                        <w:jc w:val="both"/>
                      </w:pPr>
                    </w:p>
                    <w:p w14:paraId="519FFFC0" w14:textId="77777777" w:rsidR="00B62810" w:rsidRDefault="007A0F62">
                      <w:pPr>
                        <w:pStyle w:val="BodyA"/>
                        <w:jc w:val="center"/>
                      </w:pPr>
                      <w:r>
                        <w:rPr>
                          <w:rFonts w:ascii="Calibri" w:hAnsi="Calibri"/>
                          <w:b/>
                          <w:bCs/>
                          <w:smallCaps/>
                          <w:sz w:val="52"/>
                          <w:szCs w:val="52"/>
                          <w:u w:color="000000"/>
                        </w:rPr>
                        <w:t xml:space="preserve">Zagraniczny Ośrodek </w:t>
                      </w:r>
                    </w:p>
                    <w:p w14:paraId="02233DB9" w14:textId="77777777" w:rsidR="00B62810" w:rsidRDefault="007A0F62">
                      <w:pPr>
                        <w:pStyle w:val="BodyA"/>
                        <w:jc w:val="center"/>
                        <w:rPr>
                          <w:rFonts w:ascii="Calibri" w:eastAsia="Calibri" w:hAnsi="Calibri" w:cs="Calibri"/>
                          <w:b/>
                          <w:bCs/>
                          <w:smallCaps/>
                          <w:sz w:val="52"/>
                          <w:szCs w:val="52"/>
                          <w:u w:color="000000"/>
                        </w:rPr>
                      </w:pPr>
                      <w:r>
                        <w:rPr>
                          <w:rFonts w:ascii="Calibri" w:hAnsi="Calibri"/>
                          <w:b/>
                          <w:bCs/>
                          <w:smallCaps/>
                          <w:sz w:val="52"/>
                          <w:szCs w:val="52"/>
                          <w:u w:color="000000"/>
                        </w:rPr>
                        <w:t>Polskiej Organizacji</w:t>
                      </w:r>
                    </w:p>
                    <w:p w14:paraId="1D0394F0" w14:textId="77777777" w:rsidR="00B62810" w:rsidRDefault="007A0F62">
                      <w:pPr>
                        <w:pStyle w:val="BodyA"/>
                        <w:jc w:val="center"/>
                      </w:pPr>
                      <w:r>
                        <w:rPr>
                          <w:rFonts w:ascii="Calibri" w:hAnsi="Calibri"/>
                          <w:b/>
                          <w:bCs/>
                          <w:smallCaps/>
                          <w:sz w:val="52"/>
                          <w:szCs w:val="52"/>
                          <w:u w:color="000000"/>
                        </w:rPr>
                        <w:t>Turystycznej</w:t>
                      </w:r>
                    </w:p>
                    <w:p w14:paraId="2D756D8B" w14:textId="77777777" w:rsidR="00B62810" w:rsidRDefault="007A0F62">
                      <w:pPr>
                        <w:pStyle w:val="BodyA"/>
                        <w:jc w:val="center"/>
                      </w:pPr>
                      <w:r>
                        <w:rPr>
                          <w:rFonts w:ascii="Calibri" w:hAnsi="Calibri"/>
                          <w:b/>
                          <w:bCs/>
                          <w:smallCaps/>
                          <w:sz w:val="52"/>
                          <w:szCs w:val="52"/>
                          <w:u w:color="000000"/>
                        </w:rPr>
                        <w:t>w Sztokholmie</w:t>
                      </w:r>
                    </w:p>
                    <w:p w14:paraId="0CF83A60" w14:textId="77777777" w:rsidR="00B62810" w:rsidRDefault="007A0F62">
                      <w:pPr>
                        <w:pStyle w:val="BodyA"/>
                        <w:jc w:val="center"/>
                      </w:pPr>
                      <w:r>
                        <w:rPr>
                          <w:rFonts w:ascii="Calibri" w:hAnsi="Calibri"/>
                          <w:b/>
                          <w:bCs/>
                          <w:smallCaps/>
                          <w:sz w:val="52"/>
                          <w:szCs w:val="52"/>
                          <w:u w:color="000000"/>
                        </w:rPr>
                        <w:t>sprawozdanie</w:t>
                      </w:r>
                    </w:p>
                    <w:p w14:paraId="29E4364A" w14:textId="77777777" w:rsidR="00B62810" w:rsidRDefault="007A0F62">
                      <w:pPr>
                        <w:pStyle w:val="BodyA"/>
                        <w:jc w:val="center"/>
                      </w:pPr>
                      <w:r>
                        <w:rPr>
                          <w:rFonts w:ascii="Calibri" w:hAnsi="Calibri"/>
                          <w:b/>
                          <w:bCs/>
                          <w:smallCaps/>
                          <w:sz w:val="52"/>
                          <w:szCs w:val="52"/>
                          <w:u w:color="000000"/>
                        </w:rPr>
                        <w:t>rok 2023</w:t>
                      </w:r>
                    </w:p>
                  </w:txbxContent>
                </v:textbox>
                <w10:wrap type="topAndBottom" anchorx="page" anchory="line"/>
              </v:shape>
            </w:pict>
          </mc:Fallback>
        </mc:AlternateContent>
      </w:r>
      <w:r>
        <w:rPr>
          <w:rStyle w:val="BrakA"/>
          <w:rFonts w:ascii="Arial Unicode MS" w:hAnsi="Arial Unicode MS"/>
        </w:rPr>
        <w:br w:type="page"/>
      </w:r>
    </w:p>
    <w:p w14:paraId="17C227E0" w14:textId="03E5B2CB" w:rsidR="00B62810" w:rsidRDefault="00B62810">
      <w:pPr>
        <w:pStyle w:val="TreA"/>
      </w:pPr>
    </w:p>
    <w:p w14:paraId="0E80837D" w14:textId="77777777" w:rsidR="00B62810" w:rsidRDefault="007A0F62">
      <w:pPr>
        <w:pStyle w:val="BodyA"/>
        <w:keepNext/>
        <w:shd w:val="clear" w:color="auto" w:fill="548DD4"/>
        <w:spacing w:after="60" w:line="276" w:lineRule="auto"/>
        <w:ind w:right="142"/>
        <w:rPr>
          <w:rStyle w:val="BrakA"/>
        </w:rPr>
      </w:pPr>
      <w:bookmarkStart w:id="0" w:name="_headingh.gjdgxs"/>
      <w:bookmarkStart w:id="1" w:name="_Toc"/>
      <w:bookmarkEnd w:id="0"/>
      <w:r>
        <w:rPr>
          <w:rFonts w:ascii="Cambria" w:hAnsi="Cambria"/>
          <w:b/>
          <w:bCs/>
          <w:color w:val="FFFFFF"/>
          <w:sz w:val="28"/>
          <w:szCs w:val="28"/>
        </w:rPr>
        <w:t xml:space="preserve">1. Trendy społeczno-gospodarcze </w:t>
      </w:r>
      <w:bookmarkEnd w:id="1"/>
    </w:p>
    <w:p w14:paraId="7340F97C" w14:textId="77777777" w:rsidR="00B62810" w:rsidRDefault="00B62810">
      <w:pPr>
        <w:pStyle w:val="WordDefaultStyleA"/>
        <w:jc w:val="left"/>
        <w:rPr>
          <w:color w:val="FFFFFF"/>
          <w:u w:color="FFFFFF"/>
        </w:rPr>
      </w:pPr>
    </w:p>
    <w:p w14:paraId="1EAFEC8B" w14:textId="77777777" w:rsidR="00B62810" w:rsidRDefault="007A0F62" w:rsidP="00511909">
      <w:pPr>
        <w:pStyle w:val="WordDefaultStyleA"/>
        <w:rPr>
          <w:rStyle w:val="BrakA"/>
        </w:rPr>
      </w:pPr>
      <w:r>
        <w:rPr>
          <w:rStyle w:val="BrakA"/>
        </w:rPr>
        <w:t xml:space="preserve">Rok 2023 w krajach nordyckich upłynął pod znakiem toczącego się nadal konfliktu zbrojnego w Ukrainie, którego przebieg miał znaczący wpływ na pogłębianie się kryzysu ekonomicznego na rynkach objętych działaniami promocyjnymi przez ZOPOT Sztokholm. W mediach dominowały wieści z frontu wojennego i przebieg starań Królestwa Szwecji i Republiki Finlandii o akcesję do NATO czyli Traktatu Północnoatlantyckiego. W sezonie letnim odnotowano w wielu miejscach w Europie rekordowo wysokie temperatury a na popularnych wśród nordyckich turystów greckich wyspach doszło do groźnych pożarów. W październiku 2023 roku doszło ponadto do największego w historii ataku radykalnego ugrupowania palestyńskiego Hamas na Izrael, który ogłosił stan wojny i rozpoczął krwawy odwet na Strefie Gazy. Działania zbrojne prowadzone są nadal. </w:t>
      </w:r>
    </w:p>
    <w:p w14:paraId="5E124E4F" w14:textId="77777777" w:rsidR="00B62810" w:rsidRDefault="007A0F62" w:rsidP="00511909">
      <w:pPr>
        <w:pStyle w:val="WordDefaultStyleA"/>
        <w:rPr>
          <w:rStyle w:val="BrakA"/>
        </w:rPr>
      </w:pPr>
      <w:r>
        <w:rPr>
          <w:rStyle w:val="BrakA"/>
        </w:rPr>
        <w:t>A oto podstawowe wskaźniki gospodarcze krajów nordyckich na koniec 2023 roku w porównaniu z danymi dotyczącymi Polski.</w:t>
      </w:r>
    </w:p>
    <w:p w14:paraId="7F532747" w14:textId="77777777" w:rsidR="00B62810" w:rsidRDefault="00B62810">
      <w:pPr>
        <w:pStyle w:val="WordDefaultStyleA"/>
        <w:jc w:val="left"/>
        <w:rPr>
          <w:rStyle w:val="BrakA"/>
        </w:rPr>
      </w:pPr>
    </w:p>
    <w:tbl>
      <w:tblPr>
        <w:tblStyle w:val="TableNormal"/>
        <w:tblW w:w="8881"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969"/>
        <w:gridCol w:w="1400"/>
        <w:gridCol w:w="1402"/>
        <w:gridCol w:w="1370"/>
        <w:gridCol w:w="1369"/>
        <w:gridCol w:w="1371"/>
      </w:tblGrid>
      <w:tr w:rsidR="00B62810" w14:paraId="3A855F6F" w14:textId="77777777">
        <w:trPr>
          <w:trHeight w:val="554"/>
          <w:tblHeader/>
        </w:trPr>
        <w:tc>
          <w:tcPr>
            <w:tcW w:w="1969"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14:paraId="3416D54A" w14:textId="77777777" w:rsidR="00B62810" w:rsidRDefault="007A0F62">
            <w:pPr>
              <w:pStyle w:val="TreA"/>
              <w:tabs>
                <w:tab w:val="left" w:pos="1440"/>
              </w:tabs>
              <w:suppressAutoHyphens/>
              <w:outlineLvl w:val="0"/>
            </w:pPr>
            <w:r>
              <w:rPr>
                <w:rFonts w:ascii="Helvetica Neue" w:hAnsi="Helvetica Neue"/>
                <w:b/>
                <w:bCs/>
                <w:color w:val="FFFFFF"/>
                <w:sz w:val="22"/>
                <w:szCs w:val="22"/>
                <w:u w:color="FFFFFF"/>
              </w:rPr>
              <w:t>Wskaźniki gospodarcze</w:t>
            </w:r>
          </w:p>
        </w:tc>
        <w:tc>
          <w:tcPr>
            <w:tcW w:w="1400"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vAlign w:val="center"/>
          </w:tcPr>
          <w:p w14:paraId="6B015385" w14:textId="77777777" w:rsidR="00B62810" w:rsidRDefault="007A0F62">
            <w:pPr>
              <w:pStyle w:val="TreA"/>
              <w:suppressAutoHyphens/>
              <w:jc w:val="center"/>
              <w:outlineLvl w:val="0"/>
            </w:pPr>
            <w:r>
              <w:rPr>
                <w:rFonts w:ascii="Helvetica Neue" w:hAnsi="Helvetica Neue"/>
                <w:b/>
                <w:bCs/>
                <w:color w:val="FFFFFF"/>
                <w:sz w:val="22"/>
                <w:szCs w:val="22"/>
                <w:u w:color="FFFFFF"/>
              </w:rPr>
              <w:t>Szwecja</w:t>
            </w:r>
          </w:p>
        </w:tc>
        <w:tc>
          <w:tcPr>
            <w:tcW w:w="1402"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vAlign w:val="center"/>
          </w:tcPr>
          <w:p w14:paraId="2CEDF4C7" w14:textId="77777777" w:rsidR="00B62810" w:rsidRDefault="007A0F62">
            <w:pPr>
              <w:pStyle w:val="TreA"/>
              <w:suppressAutoHyphens/>
              <w:jc w:val="center"/>
              <w:outlineLvl w:val="0"/>
            </w:pPr>
            <w:r>
              <w:rPr>
                <w:rFonts w:ascii="Helvetica Neue" w:hAnsi="Helvetica Neue"/>
                <w:b/>
                <w:bCs/>
                <w:color w:val="FFFFFF"/>
                <w:sz w:val="22"/>
                <w:szCs w:val="22"/>
                <w:u w:color="FFFFFF"/>
              </w:rPr>
              <w:t>Norwegia</w:t>
            </w:r>
          </w:p>
        </w:tc>
        <w:tc>
          <w:tcPr>
            <w:tcW w:w="1370"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vAlign w:val="center"/>
          </w:tcPr>
          <w:p w14:paraId="3FD439A7" w14:textId="77777777" w:rsidR="00B62810" w:rsidRDefault="007A0F62">
            <w:pPr>
              <w:pStyle w:val="TreA"/>
              <w:suppressAutoHyphens/>
              <w:jc w:val="center"/>
              <w:outlineLvl w:val="0"/>
            </w:pPr>
            <w:r>
              <w:rPr>
                <w:rFonts w:ascii="Helvetica Neue" w:hAnsi="Helvetica Neue"/>
                <w:b/>
                <w:bCs/>
                <w:color w:val="FFFFFF"/>
                <w:sz w:val="22"/>
                <w:szCs w:val="22"/>
                <w:u w:color="FFFFFF"/>
              </w:rPr>
              <w:t>Dania</w:t>
            </w:r>
          </w:p>
        </w:tc>
        <w:tc>
          <w:tcPr>
            <w:tcW w:w="1369"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vAlign w:val="center"/>
          </w:tcPr>
          <w:p w14:paraId="4BB4A0D2" w14:textId="77777777" w:rsidR="00B62810" w:rsidRDefault="007A0F62">
            <w:pPr>
              <w:pStyle w:val="TreA"/>
              <w:suppressAutoHyphens/>
              <w:jc w:val="center"/>
              <w:outlineLvl w:val="0"/>
            </w:pPr>
            <w:r>
              <w:rPr>
                <w:rFonts w:ascii="Helvetica Neue" w:hAnsi="Helvetica Neue"/>
                <w:b/>
                <w:bCs/>
                <w:color w:val="FFFFFF"/>
                <w:sz w:val="22"/>
                <w:szCs w:val="22"/>
                <w:u w:color="FFFFFF"/>
                <w:lang w:val="nl-NL"/>
              </w:rPr>
              <w:t>Finlandia</w:t>
            </w:r>
          </w:p>
        </w:tc>
        <w:tc>
          <w:tcPr>
            <w:tcW w:w="1371" w:type="dxa"/>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vAlign w:val="center"/>
          </w:tcPr>
          <w:p w14:paraId="6B8A7A5E" w14:textId="77777777" w:rsidR="00B62810" w:rsidRDefault="007A0F62">
            <w:pPr>
              <w:pStyle w:val="TreA"/>
              <w:suppressAutoHyphens/>
              <w:jc w:val="center"/>
              <w:outlineLvl w:val="0"/>
            </w:pPr>
            <w:r>
              <w:rPr>
                <w:rFonts w:ascii="Helvetica Neue" w:hAnsi="Helvetica Neue"/>
                <w:b/>
                <w:bCs/>
                <w:color w:val="FFFFFF"/>
                <w:sz w:val="22"/>
                <w:szCs w:val="22"/>
                <w:u w:color="FFFFFF"/>
              </w:rPr>
              <w:t>Polska</w:t>
            </w:r>
          </w:p>
        </w:tc>
      </w:tr>
      <w:tr w:rsidR="00B62810" w14:paraId="04CC20F1" w14:textId="77777777">
        <w:tblPrEx>
          <w:shd w:val="clear" w:color="auto" w:fill="CED7E7"/>
        </w:tblPrEx>
        <w:trPr>
          <w:trHeight w:val="360"/>
        </w:trPr>
        <w:tc>
          <w:tcPr>
            <w:tcW w:w="1969" w:type="dxa"/>
            <w:tcBorders>
              <w:top w:val="single" w:sz="24"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14:paraId="29AB05C2" w14:textId="77777777" w:rsidR="00B62810" w:rsidRDefault="007A0F62">
            <w:pPr>
              <w:pStyle w:val="TreA"/>
              <w:tabs>
                <w:tab w:val="left" w:pos="1440"/>
              </w:tabs>
              <w:suppressAutoHyphens/>
              <w:outlineLvl w:val="0"/>
            </w:pPr>
            <w:r>
              <w:rPr>
                <w:rFonts w:ascii="Helvetica Neue" w:hAnsi="Helvetica Neue"/>
                <w:b/>
                <w:bCs/>
                <w:color w:val="FFFFFF"/>
                <w:sz w:val="22"/>
                <w:szCs w:val="22"/>
                <w:u w:color="FFFFFF"/>
              </w:rPr>
              <w:t>Populacja (mln)</w:t>
            </w:r>
          </w:p>
        </w:tc>
        <w:tc>
          <w:tcPr>
            <w:tcW w:w="1400" w:type="dxa"/>
            <w:tcBorders>
              <w:top w:val="single" w:sz="24" w:space="0" w:color="FFFFFF"/>
              <w:left w:val="single" w:sz="8" w:space="0" w:color="FFFFFF"/>
              <w:bottom w:val="single" w:sz="24" w:space="0" w:color="FFFFFF"/>
              <w:right w:val="single" w:sz="8" w:space="0" w:color="FFFFFF"/>
            </w:tcBorders>
            <w:shd w:val="clear" w:color="auto" w:fill="CED7E7"/>
            <w:tcMar>
              <w:top w:w="80" w:type="dxa"/>
              <w:left w:w="80" w:type="dxa"/>
              <w:bottom w:w="80" w:type="dxa"/>
              <w:right w:w="80" w:type="dxa"/>
            </w:tcMar>
            <w:vAlign w:val="center"/>
          </w:tcPr>
          <w:p w14:paraId="2108B48D" w14:textId="77777777" w:rsidR="00B62810" w:rsidRDefault="007A0F62">
            <w:pPr>
              <w:pStyle w:val="TreA"/>
              <w:suppressAutoHyphens/>
              <w:jc w:val="right"/>
              <w:outlineLvl w:val="0"/>
            </w:pPr>
            <w:r>
              <w:rPr>
                <w:rFonts w:ascii="Helvetica Neue" w:hAnsi="Helvetica Neue"/>
                <w:sz w:val="22"/>
                <w:szCs w:val="22"/>
                <w:lang w:val="ru-RU"/>
              </w:rPr>
              <w:t>10,5</w:t>
            </w:r>
          </w:p>
        </w:tc>
        <w:tc>
          <w:tcPr>
            <w:tcW w:w="1402" w:type="dxa"/>
            <w:tcBorders>
              <w:top w:val="single" w:sz="24" w:space="0" w:color="FFFFFF"/>
              <w:left w:val="single" w:sz="8" w:space="0" w:color="FFFFFF"/>
              <w:bottom w:val="single" w:sz="24" w:space="0" w:color="FFFFFF"/>
              <w:right w:val="single" w:sz="8" w:space="0" w:color="FFFFFF"/>
            </w:tcBorders>
            <w:shd w:val="clear" w:color="auto" w:fill="CED7E7"/>
            <w:tcMar>
              <w:top w:w="80" w:type="dxa"/>
              <w:left w:w="80" w:type="dxa"/>
              <w:bottom w:w="80" w:type="dxa"/>
              <w:right w:w="80" w:type="dxa"/>
            </w:tcMar>
            <w:vAlign w:val="center"/>
          </w:tcPr>
          <w:p w14:paraId="66034D3A" w14:textId="77777777" w:rsidR="00B62810" w:rsidRDefault="007A0F62">
            <w:pPr>
              <w:pStyle w:val="TreA"/>
              <w:suppressAutoHyphens/>
              <w:jc w:val="right"/>
              <w:outlineLvl w:val="0"/>
            </w:pPr>
            <w:r>
              <w:rPr>
                <w:rFonts w:ascii="Helvetica Neue" w:hAnsi="Helvetica Neue"/>
                <w:sz w:val="22"/>
                <w:szCs w:val="22"/>
              </w:rPr>
              <w:t>5,5</w:t>
            </w:r>
          </w:p>
        </w:tc>
        <w:tc>
          <w:tcPr>
            <w:tcW w:w="1370" w:type="dxa"/>
            <w:tcBorders>
              <w:top w:val="single" w:sz="24" w:space="0" w:color="FFFFFF"/>
              <w:left w:val="single" w:sz="8" w:space="0" w:color="FFFFFF"/>
              <w:bottom w:val="single" w:sz="24" w:space="0" w:color="FFFFFF"/>
              <w:right w:val="single" w:sz="8" w:space="0" w:color="FFFFFF"/>
            </w:tcBorders>
            <w:shd w:val="clear" w:color="auto" w:fill="CED7E7"/>
            <w:tcMar>
              <w:top w:w="80" w:type="dxa"/>
              <w:left w:w="80" w:type="dxa"/>
              <w:bottom w:w="80" w:type="dxa"/>
              <w:right w:w="80" w:type="dxa"/>
            </w:tcMar>
            <w:vAlign w:val="center"/>
          </w:tcPr>
          <w:p w14:paraId="27B69944" w14:textId="77777777" w:rsidR="00B62810" w:rsidRDefault="007A0F62">
            <w:pPr>
              <w:pStyle w:val="TreA"/>
              <w:suppressAutoHyphens/>
              <w:jc w:val="right"/>
              <w:outlineLvl w:val="0"/>
            </w:pPr>
            <w:r>
              <w:rPr>
                <w:rFonts w:ascii="Helvetica Neue" w:hAnsi="Helvetica Neue"/>
                <w:sz w:val="22"/>
                <w:szCs w:val="22"/>
              </w:rPr>
              <w:t>5,9</w:t>
            </w:r>
          </w:p>
        </w:tc>
        <w:tc>
          <w:tcPr>
            <w:tcW w:w="1369" w:type="dxa"/>
            <w:tcBorders>
              <w:top w:val="single" w:sz="24" w:space="0" w:color="FFFFFF"/>
              <w:left w:val="single" w:sz="8" w:space="0" w:color="FFFFFF"/>
              <w:bottom w:val="single" w:sz="24" w:space="0" w:color="FFFFFF"/>
              <w:right w:val="single" w:sz="8" w:space="0" w:color="FFFFFF"/>
            </w:tcBorders>
            <w:shd w:val="clear" w:color="auto" w:fill="CED7E7"/>
            <w:tcMar>
              <w:top w:w="80" w:type="dxa"/>
              <w:left w:w="80" w:type="dxa"/>
              <w:bottom w:w="80" w:type="dxa"/>
              <w:right w:w="80" w:type="dxa"/>
            </w:tcMar>
            <w:vAlign w:val="center"/>
          </w:tcPr>
          <w:p w14:paraId="23228E76" w14:textId="77777777" w:rsidR="00B62810" w:rsidRDefault="007A0F62">
            <w:pPr>
              <w:pStyle w:val="TreA"/>
              <w:suppressAutoHyphens/>
              <w:jc w:val="right"/>
              <w:outlineLvl w:val="0"/>
            </w:pPr>
            <w:r>
              <w:rPr>
                <w:rFonts w:ascii="Helvetica Neue" w:hAnsi="Helvetica Neue"/>
                <w:sz w:val="22"/>
                <w:szCs w:val="22"/>
              </w:rPr>
              <w:t>5,6</w:t>
            </w:r>
          </w:p>
        </w:tc>
        <w:tc>
          <w:tcPr>
            <w:tcW w:w="1371" w:type="dxa"/>
            <w:tcBorders>
              <w:top w:val="single" w:sz="24" w:space="0" w:color="FFFFFF"/>
              <w:left w:val="single" w:sz="8" w:space="0" w:color="FFFFFF"/>
              <w:bottom w:val="single" w:sz="24" w:space="0" w:color="FFFFFF"/>
              <w:right w:val="single" w:sz="8" w:space="0" w:color="FFFFFF"/>
            </w:tcBorders>
            <w:shd w:val="clear" w:color="auto" w:fill="CED7E7"/>
            <w:tcMar>
              <w:top w:w="80" w:type="dxa"/>
              <w:left w:w="80" w:type="dxa"/>
              <w:bottom w:w="80" w:type="dxa"/>
              <w:right w:w="80" w:type="dxa"/>
            </w:tcMar>
            <w:vAlign w:val="center"/>
          </w:tcPr>
          <w:p w14:paraId="7FC006A7" w14:textId="77777777" w:rsidR="00B62810" w:rsidRDefault="007A0F62">
            <w:pPr>
              <w:pStyle w:val="TreA"/>
              <w:suppressAutoHyphens/>
              <w:jc w:val="right"/>
              <w:outlineLvl w:val="0"/>
            </w:pPr>
            <w:r>
              <w:rPr>
                <w:rFonts w:ascii="Helvetica Neue" w:hAnsi="Helvetica Neue"/>
                <w:sz w:val="22"/>
                <w:szCs w:val="22"/>
              </w:rPr>
              <w:t>37,6</w:t>
            </w:r>
          </w:p>
        </w:tc>
      </w:tr>
      <w:tr w:rsidR="00B62810" w14:paraId="68744E7A" w14:textId="77777777">
        <w:tblPrEx>
          <w:shd w:val="clear" w:color="auto" w:fill="CED7E7"/>
        </w:tblPrEx>
        <w:trPr>
          <w:trHeight w:val="1334"/>
        </w:trPr>
        <w:tc>
          <w:tcPr>
            <w:tcW w:w="1969" w:type="dxa"/>
            <w:tcBorders>
              <w:top w:val="single" w:sz="24"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26188329" w14:textId="77777777" w:rsidR="00B62810" w:rsidRDefault="007A0F62">
            <w:pPr>
              <w:pStyle w:val="TreA"/>
              <w:tabs>
                <w:tab w:val="left" w:pos="1440"/>
              </w:tabs>
              <w:suppressAutoHyphens/>
              <w:outlineLvl w:val="0"/>
            </w:pPr>
            <w:r>
              <w:rPr>
                <w:rFonts w:ascii="Helvetica Neue" w:hAnsi="Helvetica Neue"/>
                <w:b/>
                <w:bCs/>
                <w:color w:val="FFFFFF"/>
                <w:sz w:val="22"/>
                <w:szCs w:val="22"/>
                <w:u w:color="FFFFFF"/>
              </w:rPr>
              <w:t>% populacji urodzonej poza krajem zamieszkania (%)</w:t>
            </w:r>
          </w:p>
        </w:tc>
        <w:tc>
          <w:tcPr>
            <w:tcW w:w="1400"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156C8BEC" w14:textId="77777777" w:rsidR="00B62810" w:rsidRDefault="007A0F62">
            <w:pPr>
              <w:pStyle w:val="TreA"/>
              <w:suppressAutoHyphens/>
              <w:jc w:val="right"/>
              <w:outlineLvl w:val="0"/>
            </w:pPr>
            <w:r>
              <w:rPr>
                <w:rFonts w:ascii="Helvetica Neue" w:hAnsi="Helvetica Neue"/>
                <w:sz w:val="22"/>
                <w:szCs w:val="22"/>
              </w:rPr>
              <w:t>19,8</w:t>
            </w:r>
          </w:p>
        </w:tc>
        <w:tc>
          <w:tcPr>
            <w:tcW w:w="1402"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00408FEA" w14:textId="77777777" w:rsidR="00B62810" w:rsidRDefault="007A0F62">
            <w:pPr>
              <w:pStyle w:val="TreA"/>
              <w:suppressAutoHyphens/>
              <w:jc w:val="right"/>
              <w:outlineLvl w:val="0"/>
            </w:pPr>
            <w:r>
              <w:rPr>
                <w:rFonts w:ascii="Helvetica Neue" w:hAnsi="Helvetica Neue"/>
                <w:sz w:val="22"/>
                <w:szCs w:val="22"/>
              </w:rPr>
              <w:t>16,5</w:t>
            </w:r>
          </w:p>
        </w:tc>
        <w:tc>
          <w:tcPr>
            <w:tcW w:w="1370"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47DDB9CE" w14:textId="77777777" w:rsidR="00B62810" w:rsidRDefault="007A0F62">
            <w:pPr>
              <w:pStyle w:val="TreA"/>
              <w:suppressAutoHyphens/>
              <w:jc w:val="right"/>
              <w:outlineLvl w:val="0"/>
            </w:pPr>
            <w:r>
              <w:rPr>
                <w:rFonts w:ascii="Helvetica Neue" w:hAnsi="Helvetica Neue"/>
                <w:sz w:val="22"/>
                <w:szCs w:val="22"/>
              </w:rPr>
              <w:t>12,6</w:t>
            </w:r>
          </w:p>
        </w:tc>
        <w:tc>
          <w:tcPr>
            <w:tcW w:w="1369"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202DFDB7" w14:textId="77777777" w:rsidR="00B62810" w:rsidRDefault="007A0F62">
            <w:pPr>
              <w:pStyle w:val="TreA"/>
              <w:suppressAutoHyphens/>
              <w:jc w:val="right"/>
              <w:outlineLvl w:val="0"/>
            </w:pPr>
            <w:r>
              <w:rPr>
                <w:rFonts w:ascii="Helvetica Neue" w:hAnsi="Helvetica Neue"/>
                <w:sz w:val="22"/>
                <w:szCs w:val="22"/>
              </w:rPr>
              <w:t>7,7</w:t>
            </w:r>
          </w:p>
        </w:tc>
        <w:tc>
          <w:tcPr>
            <w:tcW w:w="1371"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1F6B0A3B" w14:textId="77777777" w:rsidR="00B62810" w:rsidRDefault="007A0F62">
            <w:pPr>
              <w:pStyle w:val="TreA"/>
              <w:suppressAutoHyphens/>
              <w:jc w:val="right"/>
              <w:outlineLvl w:val="0"/>
            </w:pPr>
            <w:r>
              <w:rPr>
                <w:rFonts w:ascii="Helvetica Neue" w:hAnsi="Helvetica Neue"/>
                <w:sz w:val="22"/>
                <w:szCs w:val="22"/>
              </w:rPr>
              <w:t>2,5</w:t>
            </w:r>
          </w:p>
        </w:tc>
      </w:tr>
      <w:tr w:rsidR="00B62810" w14:paraId="66426111" w14:textId="77777777">
        <w:tblPrEx>
          <w:shd w:val="clear" w:color="auto" w:fill="CED7E7"/>
        </w:tblPrEx>
        <w:trPr>
          <w:trHeight w:val="274"/>
        </w:trPr>
        <w:tc>
          <w:tcPr>
            <w:tcW w:w="1969"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50F37E61" w14:textId="77777777" w:rsidR="00B62810" w:rsidRDefault="007A0F62">
            <w:pPr>
              <w:pStyle w:val="TreA"/>
              <w:tabs>
                <w:tab w:val="left" w:pos="1440"/>
              </w:tabs>
              <w:suppressAutoHyphens/>
              <w:outlineLvl w:val="0"/>
            </w:pPr>
            <w:r>
              <w:rPr>
                <w:rFonts w:ascii="Helvetica Neue" w:hAnsi="Helvetica Neue"/>
                <w:b/>
                <w:bCs/>
                <w:color w:val="FFFFFF"/>
                <w:sz w:val="22"/>
                <w:szCs w:val="22"/>
                <w:u w:color="FFFFFF"/>
              </w:rPr>
              <w:t>Wzrost PKB  (%)</w:t>
            </w:r>
          </w:p>
        </w:tc>
        <w:tc>
          <w:tcPr>
            <w:tcW w:w="140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284423D6" w14:textId="77777777" w:rsidR="00B62810" w:rsidRDefault="007A0F62">
            <w:pPr>
              <w:pStyle w:val="TreA"/>
              <w:suppressAutoHyphens/>
              <w:jc w:val="right"/>
              <w:outlineLvl w:val="0"/>
            </w:pPr>
            <w:r>
              <w:rPr>
                <w:rFonts w:ascii="Helvetica Neue" w:hAnsi="Helvetica Neue"/>
                <w:sz w:val="22"/>
                <w:szCs w:val="22"/>
              </w:rPr>
              <w:t>-0,06</w:t>
            </w:r>
          </w:p>
        </w:tc>
        <w:tc>
          <w:tcPr>
            <w:tcW w:w="140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591F7EFD" w14:textId="77777777" w:rsidR="00B62810" w:rsidRDefault="007A0F62">
            <w:pPr>
              <w:pStyle w:val="TreA"/>
              <w:suppressAutoHyphens/>
              <w:jc w:val="right"/>
              <w:outlineLvl w:val="0"/>
            </w:pPr>
            <w:r>
              <w:rPr>
                <w:rFonts w:ascii="Helvetica Neue" w:hAnsi="Helvetica Neue"/>
                <w:sz w:val="22"/>
                <w:szCs w:val="22"/>
              </w:rPr>
              <w:t>1,5</w:t>
            </w:r>
          </w:p>
        </w:tc>
        <w:tc>
          <w:tcPr>
            <w:tcW w:w="137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28579D3B" w14:textId="77777777" w:rsidR="00B62810" w:rsidRDefault="007A0F62">
            <w:pPr>
              <w:pStyle w:val="TreA"/>
              <w:suppressAutoHyphens/>
              <w:jc w:val="right"/>
              <w:outlineLvl w:val="0"/>
            </w:pPr>
            <w:r>
              <w:rPr>
                <w:rFonts w:ascii="Helvetica Neue" w:hAnsi="Helvetica Neue"/>
                <w:sz w:val="22"/>
                <w:szCs w:val="22"/>
              </w:rPr>
              <w:t>2,6</w:t>
            </w:r>
          </w:p>
        </w:tc>
        <w:tc>
          <w:tcPr>
            <w:tcW w:w="136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4437BACC" w14:textId="77777777" w:rsidR="00B62810" w:rsidRDefault="007A0F62">
            <w:pPr>
              <w:pStyle w:val="TreA"/>
              <w:suppressAutoHyphens/>
              <w:jc w:val="right"/>
              <w:outlineLvl w:val="0"/>
            </w:pPr>
            <w:r>
              <w:rPr>
                <w:rFonts w:ascii="Helvetica Neue" w:hAnsi="Helvetica Neue"/>
                <w:sz w:val="22"/>
                <w:szCs w:val="22"/>
              </w:rPr>
              <w:t>-0,7</w:t>
            </w:r>
          </w:p>
        </w:tc>
        <w:tc>
          <w:tcPr>
            <w:tcW w:w="137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29060033" w14:textId="77777777" w:rsidR="00B62810" w:rsidRDefault="007A0F62">
            <w:pPr>
              <w:pStyle w:val="TreA"/>
              <w:suppressAutoHyphens/>
              <w:jc w:val="right"/>
              <w:outlineLvl w:val="0"/>
            </w:pPr>
            <w:r>
              <w:rPr>
                <w:rFonts w:ascii="Helvetica Neue" w:hAnsi="Helvetica Neue"/>
                <w:sz w:val="22"/>
                <w:szCs w:val="22"/>
                <w:lang w:val="en-US"/>
              </w:rPr>
              <w:t>0,0</w:t>
            </w:r>
          </w:p>
        </w:tc>
      </w:tr>
      <w:tr w:rsidR="00B62810" w14:paraId="5A72702F" w14:textId="77777777">
        <w:tblPrEx>
          <w:shd w:val="clear" w:color="auto" w:fill="CED7E7"/>
        </w:tblPrEx>
        <w:trPr>
          <w:trHeight w:val="274"/>
        </w:trPr>
        <w:tc>
          <w:tcPr>
            <w:tcW w:w="1969"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1B92C064" w14:textId="77777777" w:rsidR="00B62810" w:rsidRDefault="007A0F62">
            <w:pPr>
              <w:pStyle w:val="TreA"/>
              <w:tabs>
                <w:tab w:val="left" w:pos="1440"/>
              </w:tabs>
              <w:suppressAutoHyphens/>
              <w:outlineLvl w:val="0"/>
            </w:pPr>
            <w:r>
              <w:rPr>
                <w:rFonts w:ascii="Helvetica Neue" w:hAnsi="Helvetica Neue"/>
                <w:b/>
                <w:bCs/>
                <w:color w:val="FFFFFF"/>
                <w:sz w:val="22"/>
                <w:szCs w:val="22"/>
                <w:u w:color="FFFFFF"/>
              </w:rPr>
              <w:t>Inflacja (%)</w:t>
            </w:r>
          </w:p>
        </w:tc>
        <w:tc>
          <w:tcPr>
            <w:tcW w:w="140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67EB6F6D" w14:textId="77777777" w:rsidR="00B62810" w:rsidRDefault="007A0F62">
            <w:pPr>
              <w:pStyle w:val="TreA"/>
              <w:suppressAutoHyphens/>
              <w:jc w:val="right"/>
              <w:outlineLvl w:val="0"/>
            </w:pPr>
            <w:r>
              <w:rPr>
                <w:rFonts w:ascii="Helvetica Neue" w:hAnsi="Helvetica Neue"/>
                <w:sz w:val="22"/>
                <w:szCs w:val="22"/>
              </w:rPr>
              <w:t>2,5</w:t>
            </w:r>
          </w:p>
        </w:tc>
        <w:tc>
          <w:tcPr>
            <w:tcW w:w="140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4E1EA427" w14:textId="77777777" w:rsidR="00B62810" w:rsidRDefault="007A0F62">
            <w:pPr>
              <w:pStyle w:val="TreA"/>
              <w:suppressAutoHyphens/>
              <w:jc w:val="right"/>
              <w:outlineLvl w:val="0"/>
            </w:pPr>
            <w:r>
              <w:rPr>
                <w:rFonts w:ascii="Helvetica Neue" w:hAnsi="Helvetica Neue"/>
                <w:sz w:val="22"/>
                <w:szCs w:val="22"/>
              </w:rPr>
              <w:t>4,9</w:t>
            </w:r>
          </w:p>
        </w:tc>
        <w:tc>
          <w:tcPr>
            <w:tcW w:w="137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088C5A2B" w14:textId="77777777" w:rsidR="00B62810" w:rsidRDefault="007A0F62">
            <w:pPr>
              <w:pStyle w:val="TreA"/>
              <w:suppressAutoHyphens/>
              <w:jc w:val="right"/>
              <w:outlineLvl w:val="0"/>
            </w:pPr>
            <w:r>
              <w:rPr>
                <w:rFonts w:ascii="Helvetica Neue" w:hAnsi="Helvetica Neue"/>
                <w:sz w:val="22"/>
                <w:szCs w:val="22"/>
              </w:rPr>
              <w:t>1,7</w:t>
            </w:r>
          </w:p>
        </w:tc>
        <w:tc>
          <w:tcPr>
            <w:tcW w:w="136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0B6BC99D" w14:textId="77777777" w:rsidR="00B62810" w:rsidRDefault="007A0F62">
            <w:pPr>
              <w:pStyle w:val="TreA"/>
              <w:suppressAutoHyphens/>
              <w:jc w:val="right"/>
              <w:outlineLvl w:val="0"/>
            </w:pPr>
            <w:r>
              <w:rPr>
                <w:rFonts w:ascii="Helvetica Neue" w:hAnsi="Helvetica Neue"/>
                <w:sz w:val="22"/>
                <w:szCs w:val="22"/>
              </w:rPr>
              <w:t>2,6</w:t>
            </w:r>
          </w:p>
        </w:tc>
        <w:tc>
          <w:tcPr>
            <w:tcW w:w="137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41224308" w14:textId="77777777" w:rsidR="00B62810" w:rsidRDefault="007A0F62">
            <w:pPr>
              <w:pStyle w:val="TreA"/>
              <w:suppressAutoHyphens/>
              <w:jc w:val="right"/>
              <w:outlineLvl w:val="0"/>
            </w:pPr>
            <w:r>
              <w:rPr>
                <w:rFonts w:ascii="Helvetica Neue" w:hAnsi="Helvetica Neue"/>
                <w:sz w:val="22"/>
                <w:szCs w:val="22"/>
              </w:rPr>
              <w:t>2,8</w:t>
            </w:r>
          </w:p>
        </w:tc>
      </w:tr>
      <w:tr w:rsidR="00B62810" w14:paraId="3EB195E2" w14:textId="77777777">
        <w:tblPrEx>
          <w:shd w:val="clear" w:color="auto" w:fill="CED7E7"/>
        </w:tblPrEx>
        <w:trPr>
          <w:trHeight w:val="794"/>
        </w:trPr>
        <w:tc>
          <w:tcPr>
            <w:tcW w:w="1969"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73469296" w14:textId="77777777" w:rsidR="00B62810" w:rsidRDefault="007A0F62">
            <w:pPr>
              <w:pStyle w:val="TreA"/>
              <w:tabs>
                <w:tab w:val="left" w:pos="1440"/>
              </w:tabs>
              <w:suppressAutoHyphens/>
              <w:outlineLvl w:val="0"/>
            </w:pPr>
            <w:r>
              <w:rPr>
                <w:rFonts w:ascii="Helvetica Neue" w:hAnsi="Helvetica Neue"/>
                <w:b/>
                <w:bCs/>
                <w:color w:val="FFFFFF"/>
                <w:sz w:val="22"/>
                <w:szCs w:val="22"/>
                <w:u w:color="FFFFFF"/>
              </w:rPr>
              <w:t>Inflacja żywnościowa (%)</w:t>
            </w:r>
          </w:p>
        </w:tc>
        <w:tc>
          <w:tcPr>
            <w:tcW w:w="140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75728AB0" w14:textId="77777777" w:rsidR="00B62810" w:rsidRDefault="007A0F62">
            <w:pPr>
              <w:pStyle w:val="TreA"/>
              <w:suppressAutoHyphens/>
              <w:jc w:val="right"/>
              <w:outlineLvl w:val="0"/>
            </w:pPr>
            <w:r>
              <w:rPr>
                <w:rFonts w:ascii="Helvetica Neue" w:hAnsi="Helvetica Neue"/>
                <w:sz w:val="22"/>
                <w:szCs w:val="22"/>
              </w:rPr>
              <w:t>1,2</w:t>
            </w:r>
          </w:p>
        </w:tc>
        <w:tc>
          <w:tcPr>
            <w:tcW w:w="140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463F6811" w14:textId="77777777" w:rsidR="00B62810" w:rsidRDefault="007A0F62">
            <w:pPr>
              <w:pStyle w:val="TreA"/>
              <w:suppressAutoHyphens/>
              <w:jc w:val="right"/>
              <w:outlineLvl w:val="0"/>
            </w:pPr>
            <w:r>
              <w:rPr>
                <w:rFonts w:ascii="Helvetica Neue" w:hAnsi="Helvetica Neue"/>
                <w:sz w:val="22"/>
                <w:szCs w:val="22"/>
              </w:rPr>
              <w:t>6,3</w:t>
            </w:r>
          </w:p>
        </w:tc>
        <w:tc>
          <w:tcPr>
            <w:tcW w:w="137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09881DD5" w14:textId="77777777" w:rsidR="00B62810" w:rsidRDefault="007A0F62">
            <w:pPr>
              <w:pStyle w:val="TreA"/>
              <w:suppressAutoHyphens/>
              <w:jc w:val="right"/>
              <w:outlineLvl w:val="0"/>
            </w:pPr>
            <w:r>
              <w:rPr>
                <w:rFonts w:ascii="Helvetica Neue" w:hAnsi="Helvetica Neue"/>
                <w:sz w:val="22"/>
                <w:szCs w:val="22"/>
              </w:rPr>
              <w:t>-0,6</w:t>
            </w:r>
          </w:p>
        </w:tc>
        <w:tc>
          <w:tcPr>
            <w:tcW w:w="136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45ED3D0F" w14:textId="77777777" w:rsidR="00B62810" w:rsidRDefault="007A0F62">
            <w:pPr>
              <w:pStyle w:val="TreA"/>
              <w:suppressAutoHyphens/>
              <w:jc w:val="right"/>
              <w:outlineLvl w:val="0"/>
            </w:pPr>
            <w:r>
              <w:rPr>
                <w:rFonts w:ascii="Helvetica Neue" w:hAnsi="Helvetica Neue"/>
                <w:sz w:val="22"/>
                <w:szCs w:val="22"/>
              </w:rPr>
              <w:t>-0,5</w:t>
            </w:r>
          </w:p>
        </w:tc>
        <w:tc>
          <w:tcPr>
            <w:tcW w:w="137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394C49A2" w14:textId="77777777" w:rsidR="00B62810" w:rsidRDefault="007A0F62">
            <w:pPr>
              <w:pStyle w:val="TreA"/>
              <w:suppressAutoHyphens/>
              <w:jc w:val="right"/>
              <w:outlineLvl w:val="0"/>
            </w:pPr>
            <w:r>
              <w:rPr>
                <w:rFonts w:ascii="Helvetica Neue" w:hAnsi="Helvetica Neue"/>
                <w:sz w:val="22"/>
                <w:szCs w:val="22"/>
              </w:rPr>
              <w:t>0,3</w:t>
            </w:r>
          </w:p>
        </w:tc>
      </w:tr>
      <w:tr w:rsidR="00B62810" w14:paraId="243BBD06" w14:textId="77777777">
        <w:tblPrEx>
          <w:shd w:val="clear" w:color="auto" w:fill="CED7E7"/>
        </w:tblPrEx>
        <w:trPr>
          <w:trHeight w:val="534"/>
        </w:trPr>
        <w:tc>
          <w:tcPr>
            <w:tcW w:w="1969"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3DCFC443" w14:textId="77777777" w:rsidR="00B62810" w:rsidRDefault="007A0F62">
            <w:pPr>
              <w:pStyle w:val="TreA"/>
              <w:tabs>
                <w:tab w:val="left" w:pos="1440"/>
              </w:tabs>
              <w:suppressAutoHyphens/>
              <w:outlineLvl w:val="0"/>
            </w:pPr>
            <w:r>
              <w:rPr>
                <w:rFonts w:ascii="Helvetica Neue" w:hAnsi="Helvetica Neue"/>
                <w:b/>
                <w:bCs/>
                <w:color w:val="FFFFFF"/>
                <w:sz w:val="22"/>
                <w:szCs w:val="22"/>
                <w:u w:color="FFFFFF"/>
                <w:lang w:val="pt-PT"/>
              </w:rPr>
              <w:t>DGD* do PKB (%)</w:t>
            </w:r>
          </w:p>
        </w:tc>
        <w:tc>
          <w:tcPr>
            <w:tcW w:w="140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66A90AEA" w14:textId="77777777" w:rsidR="00B62810" w:rsidRDefault="007A0F62">
            <w:pPr>
              <w:pStyle w:val="TreA"/>
              <w:suppressAutoHyphens/>
              <w:jc w:val="right"/>
              <w:outlineLvl w:val="0"/>
            </w:pPr>
            <w:r>
              <w:rPr>
                <w:rFonts w:ascii="Helvetica Neue" w:hAnsi="Helvetica Neue"/>
                <w:sz w:val="22"/>
                <w:szCs w:val="22"/>
              </w:rPr>
              <w:t>83,9</w:t>
            </w:r>
          </w:p>
        </w:tc>
        <w:tc>
          <w:tcPr>
            <w:tcW w:w="140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7E14A545" w14:textId="77777777" w:rsidR="00B62810" w:rsidRDefault="007A0F62">
            <w:pPr>
              <w:pStyle w:val="TreA"/>
              <w:suppressAutoHyphens/>
              <w:jc w:val="right"/>
              <w:outlineLvl w:val="0"/>
            </w:pPr>
            <w:r>
              <w:rPr>
                <w:rFonts w:ascii="Helvetica Neue" w:hAnsi="Helvetica Neue"/>
                <w:sz w:val="22"/>
                <w:szCs w:val="22"/>
              </w:rPr>
              <w:t>84,9</w:t>
            </w:r>
          </w:p>
        </w:tc>
        <w:tc>
          <w:tcPr>
            <w:tcW w:w="137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79154857" w14:textId="77777777" w:rsidR="00B62810" w:rsidRDefault="007A0F62">
            <w:pPr>
              <w:pStyle w:val="TreA"/>
              <w:suppressAutoHyphens/>
              <w:jc w:val="right"/>
              <w:outlineLvl w:val="0"/>
            </w:pPr>
            <w:r>
              <w:rPr>
                <w:rFonts w:ascii="Helvetica Neue" w:hAnsi="Helvetica Neue"/>
                <w:sz w:val="22"/>
                <w:szCs w:val="22"/>
              </w:rPr>
              <w:t>85,6</w:t>
            </w:r>
          </w:p>
        </w:tc>
        <w:tc>
          <w:tcPr>
            <w:tcW w:w="136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4085309C" w14:textId="77777777" w:rsidR="00B62810" w:rsidRDefault="007A0F62">
            <w:pPr>
              <w:pStyle w:val="TreA"/>
              <w:suppressAutoHyphens/>
              <w:jc w:val="right"/>
              <w:outlineLvl w:val="0"/>
            </w:pPr>
            <w:r>
              <w:rPr>
                <w:rFonts w:ascii="Helvetica Neue" w:hAnsi="Helvetica Neue"/>
                <w:sz w:val="22"/>
                <w:szCs w:val="22"/>
              </w:rPr>
              <w:t>62,9</w:t>
            </w:r>
          </w:p>
        </w:tc>
        <w:tc>
          <w:tcPr>
            <w:tcW w:w="137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50A6A604" w14:textId="77777777" w:rsidR="00B62810" w:rsidRDefault="007A0F62">
            <w:pPr>
              <w:pStyle w:val="TreA"/>
              <w:suppressAutoHyphens/>
              <w:jc w:val="right"/>
              <w:outlineLvl w:val="0"/>
            </w:pPr>
            <w:r>
              <w:rPr>
                <w:rFonts w:ascii="Helvetica Neue" w:hAnsi="Helvetica Neue"/>
                <w:sz w:val="22"/>
                <w:szCs w:val="22"/>
              </w:rPr>
              <w:t>24,2</w:t>
            </w:r>
          </w:p>
        </w:tc>
      </w:tr>
      <w:tr w:rsidR="00B62810" w14:paraId="357FACF1" w14:textId="77777777">
        <w:tblPrEx>
          <w:shd w:val="clear" w:color="auto" w:fill="CED7E7"/>
        </w:tblPrEx>
        <w:trPr>
          <w:trHeight w:val="534"/>
        </w:trPr>
        <w:tc>
          <w:tcPr>
            <w:tcW w:w="1969"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22CF534B" w14:textId="77777777" w:rsidR="00B62810" w:rsidRDefault="007A0F62">
            <w:pPr>
              <w:pStyle w:val="TreA"/>
              <w:tabs>
                <w:tab w:val="left" w:pos="1440"/>
              </w:tabs>
              <w:suppressAutoHyphens/>
              <w:outlineLvl w:val="0"/>
            </w:pPr>
            <w:r>
              <w:rPr>
                <w:rFonts w:ascii="Helvetica Neue" w:hAnsi="Helvetica Neue"/>
                <w:b/>
                <w:bCs/>
                <w:color w:val="FFFFFF"/>
                <w:sz w:val="22"/>
                <w:szCs w:val="22"/>
                <w:u w:color="FFFFFF"/>
              </w:rPr>
              <w:t>Stopa bezrobocia (%)</w:t>
            </w:r>
          </w:p>
        </w:tc>
        <w:tc>
          <w:tcPr>
            <w:tcW w:w="140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06BB1BFF" w14:textId="77777777" w:rsidR="00B62810" w:rsidRDefault="007A0F62">
            <w:pPr>
              <w:pStyle w:val="TreA"/>
              <w:suppressAutoHyphens/>
              <w:jc w:val="right"/>
              <w:outlineLvl w:val="0"/>
            </w:pPr>
            <w:r>
              <w:rPr>
                <w:rFonts w:ascii="Helvetica Neue" w:hAnsi="Helvetica Neue"/>
                <w:sz w:val="22"/>
                <w:szCs w:val="22"/>
              </w:rPr>
              <w:t>8,5</w:t>
            </w:r>
          </w:p>
        </w:tc>
        <w:tc>
          <w:tcPr>
            <w:tcW w:w="140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532DBE82" w14:textId="77777777" w:rsidR="00B62810" w:rsidRDefault="007A0F62">
            <w:pPr>
              <w:pStyle w:val="TreA"/>
              <w:suppressAutoHyphens/>
              <w:jc w:val="right"/>
              <w:outlineLvl w:val="0"/>
            </w:pPr>
            <w:r>
              <w:rPr>
                <w:rFonts w:ascii="Helvetica Neue" w:hAnsi="Helvetica Neue"/>
                <w:sz w:val="22"/>
                <w:szCs w:val="22"/>
              </w:rPr>
              <w:t>4,5</w:t>
            </w:r>
          </w:p>
        </w:tc>
        <w:tc>
          <w:tcPr>
            <w:tcW w:w="137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1CF255E6" w14:textId="77777777" w:rsidR="00B62810" w:rsidRDefault="007A0F62">
            <w:pPr>
              <w:pStyle w:val="TreA"/>
              <w:suppressAutoHyphens/>
              <w:jc w:val="right"/>
              <w:outlineLvl w:val="0"/>
            </w:pPr>
            <w:r>
              <w:rPr>
                <w:rFonts w:ascii="Helvetica Neue" w:hAnsi="Helvetica Neue"/>
                <w:sz w:val="22"/>
                <w:szCs w:val="22"/>
              </w:rPr>
              <w:t>2,5</w:t>
            </w:r>
          </w:p>
        </w:tc>
        <w:tc>
          <w:tcPr>
            <w:tcW w:w="136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17D615C6" w14:textId="77777777" w:rsidR="00B62810" w:rsidRDefault="007A0F62">
            <w:pPr>
              <w:pStyle w:val="TreA"/>
              <w:suppressAutoHyphens/>
              <w:jc w:val="right"/>
              <w:outlineLvl w:val="0"/>
            </w:pPr>
            <w:r>
              <w:rPr>
                <w:rFonts w:ascii="Helvetica Neue" w:hAnsi="Helvetica Neue"/>
                <w:sz w:val="22"/>
                <w:szCs w:val="22"/>
              </w:rPr>
              <w:t>8,3</w:t>
            </w:r>
          </w:p>
        </w:tc>
        <w:tc>
          <w:tcPr>
            <w:tcW w:w="137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vAlign w:val="center"/>
          </w:tcPr>
          <w:p w14:paraId="0B0E0FC5" w14:textId="77777777" w:rsidR="00B62810" w:rsidRDefault="007A0F62">
            <w:pPr>
              <w:pStyle w:val="TreA"/>
              <w:suppressAutoHyphens/>
              <w:jc w:val="right"/>
              <w:outlineLvl w:val="0"/>
            </w:pPr>
            <w:r>
              <w:rPr>
                <w:rFonts w:ascii="Helvetica Neue" w:hAnsi="Helvetica Neue"/>
                <w:sz w:val="22"/>
                <w:szCs w:val="22"/>
              </w:rPr>
              <w:t>5,4</w:t>
            </w:r>
          </w:p>
        </w:tc>
      </w:tr>
      <w:tr w:rsidR="00B62810" w14:paraId="775DA1C0" w14:textId="77777777">
        <w:tblPrEx>
          <w:shd w:val="clear" w:color="auto" w:fill="CED7E7"/>
        </w:tblPrEx>
        <w:trPr>
          <w:trHeight w:val="534"/>
        </w:trPr>
        <w:tc>
          <w:tcPr>
            <w:tcW w:w="1969" w:type="dxa"/>
            <w:tcBorders>
              <w:top w:val="single" w:sz="8" w:space="0" w:color="FFFFFF"/>
              <w:left w:val="single" w:sz="8" w:space="0" w:color="FFFFFF"/>
              <w:bottom w:val="single" w:sz="8" w:space="0" w:color="FFFFFF"/>
              <w:right w:val="single" w:sz="8" w:space="0" w:color="FFFFFF"/>
            </w:tcBorders>
            <w:shd w:val="clear" w:color="auto" w:fill="4F81BD"/>
            <w:tcMar>
              <w:top w:w="80" w:type="dxa"/>
              <w:left w:w="80" w:type="dxa"/>
              <w:bottom w:w="80" w:type="dxa"/>
              <w:right w:w="80" w:type="dxa"/>
            </w:tcMar>
          </w:tcPr>
          <w:p w14:paraId="7E1A721D" w14:textId="77777777" w:rsidR="00B62810" w:rsidRDefault="007A0F62">
            <w:pPr>
              <w:pStyle w:val="TreA"/>
              <w:tabs>
                <w:tab w:val="left" w:pos="1440"/>
              </w:tabs>
              <w:suppressAutoHyphens/>
              <w:outlineLvl w:val="0"/>
            </w:pPr>
            <w:r>
              <w:rPr>
                <w:rFonts w:ascii="Helvetica Neue" w:hAnsi="Helvetica Neue"/>
                <w:b/>
                <w:bCs/>
                <w:color w:val="FFFFFF"/>
                <w:sz w:val="22"/>
                <w:szCs w:val="22"/>
                <w:u w:color="FFFFFF"/>
              </w:rPr>
              <w:t>Kurs PLN - waluta lokalna **</w:t>
            </w:r>
          </w:p>
        </w:tc>
        <w:tc>
          <w:tcPr>
            <w:tcW w:w="140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5798B733" w14:textId="77777777" w:rsidR="00B62810" w:rsidRDefault="007A0F62">
            <w:pPr>
              <w:pStyle w:val="TreA"/>
              <w:suppressAutoHyphens/>
              <w:jc w:val="right"/>
              <w:outlineLvl w:val="0"/>
            </w:pPr>
            <w:r>
              <w:rPr>
                <w:rFonts w:ascii="Helvetica Neue" w:hAnsi="Helvetica Neue"/>
                <w:sz w:val="22"/>
                <w:szCs w:val="22"/>
              </w:rPr>
              <w:t>2,5570</w:t>
            </w:r>
          </w:p>
        </w:tc>
        <w:tc>
          <w:tcPr>
            <w:tcW w:w="140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18B8F253" w14:textId="77777777" w:rsidR="00B62810" w:rsidRDefault="007A0F62">
            <w:pPr>
              <w:pStyle w:val="TreA"/>
              <w:suppressAutoHyphens/>
              <w:jc w:val="right"/>
              <w:outlineLvl w:val="0"/>
            </w:pPr>
            <w:r>
              <w:rPr>
                <w:rFonts w:ascii="Helvetica Neue" w:hAnsi="Helvetica Neue"/>
                <w:sz w:val="22"/>
                <w:szCs w:val="22"/>
              </w:rPr>
              <w:t>2,5903</w:t>
            </w:r>
          </w:p>
        </w:tc>
        <w:tc>
          <w:tcPr>
            <w:tcW w:w="137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0A3528FB" w14:textId="77777777" w:rsidR="00B62810" w:rsidRDefault="007A0F62">
            <w:pPr>
              <w:pStyle w:val="TreA"/>
              <w:suppressAutoHyphens/>
              <w:jc w:val="right"/>
              <w:outlineLvl w:val="0"/>
            </w:pPr>
            <w:r>
              <w:rPr>
                <w:rFonts w:ascii="Helvetica Neue" w:hAnsi="Helvetica Neue"/>
                <w:sz w:val="22"/>
                <w:szCs w:val="22"/>
              </w:rPr>
              <w:t>1,7175</w:t>
            </w:r>
          </w:p>
        </w:tc>
        <w:tc>
          <w:tcPr>
            <w:tcW w:w="136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3471DBF5" w14:textId="77777777" w:rsidR="00B62810" w:rsidRDefault="007A0F62">
            <w:pPr>
              <w:pStyle w:val="TreA"/>
              <w:suppressAutoHyphens/>
              <w:jc w:val="right"/>
              <w:outlineLvl w:val="0"/>
            </w:pPr>
            <w:r>
              <w:rPr>
                <w:rFonts w:ascii="Helvetica Neue" w:hAnsi="Helvetica Neue"/>
                <w:sz w:val="22"/>
                <w:szCs w:val="22"/>
              </w:rPr>
              <w:t>4,3480</w:t>
            </w:r>
          </w:p>
        </w:tc>
        <w:tc>
          <w:tcPr>
            <w:tcW w:w="137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vAlign w:val="center"/>
          </w:tcPr>
          <w:p w14:paraId="0F101761" w14:textId="77777777" w:rsidR="00B62810" w:rsidRDefault="007A0F62">
            <w:pPr>
              <w:pStyle w:val="TreA"/>
              <w:suppressAutoHyphens/>
              <w:jc w:val="right"/>
              <w:outlineLvl w:val="0"/>
            </w:pPr>
            <w:r>
              <w:rPr>
                <w:rFonts w:ascii="Helvetica Neue" w:hAnsi="Helvetica Neue"/>
                <w:sz w:val="22"/>
                <w:szCs w:val="22"/>
              </w:rPr>
              <w:t xml:space="preserve">Nd </w:t>
            </w:r>
          </w:p>
        </w:tc>
      </w:tr>
    </w:tbl>
    <w:p w14:paraId="5E1347D2" w14:textId="77777777" w:rsidR="00B62810" w:rsidRDefault="00B62810">
      <w:pPr>
        <w:pStyle w:val="WordDefaultStyleA"/>
        <w:widowControl w:val="0"/>
        <w:ind w:left="324" w:hanging="324"/>
        <w:jc w:val="left"/>
        <w:rPr>
          <w:rStyle w:val="BrakA"/>
        </w:rPr>
      </w:pPr>
    </w:p>
    <w:p w14:paraId="2E58878C" w14:textId="77777777" w:rsidR="00B62810" w:rsidRDefault="00B62810">
      <w:pPr>
        <w:pStyle w:val="WordDefaultStyleA"/>
        <w:jc w:val="left"/>
        <w:rPr>
          <w:rStyle w:val="BrakA"/>
        </w:rPr>
      </w:pPr>
    </w:p>
    <w:p w14:paraId="1554D2E3" w14:textId="77777777" w:rsidR="00B62810" w:rsidRDefault="007A0F62">
      <w:pPr>
        <w:pStyle w:val="WordDefaultStyleA"/>
        <w:jc w:val="left"/>
        <w:rPr>
          <w:rStyle w:val="BrakA"/>
        </w:rPr>
      </w:pPr>
      <w:r>
        <w:rPr>
          <w:rStyle w:val="BrakA"/>
        </w:rPr>
        <w:t>Źródło: https://tradingeconomics.com, dane z grudnia 2023-lutego 2024</w:t>
      </w:r>
    </w:p>
    <w:p w14:paraId="722B1DD0" w14:textId="77777777" w:rsidR="00B62810" w:rsidRDefault="007A0F62">
      <w:pPr>
        <w:pStyle w:val="WordDefaultStyleA"/>
        <w:jc w:val="left"/>
        <w:rPr>
          <w:rStyle w:val="BrakA"/>
        </w:rPr>
      </w:pPr>
      <w:r>
        <w:rPr>
          <w:rStyle w:val="BrakA"/>
        </w:rPr>
        <w:t>(*) Dług Gospodarstw Domowych</w:t>
      </w:r>
    </w:p>
    <w:p w14:paraId="7B239C1C" w14:textId="77777777" w:rsidR="00B62810" w:rsidRDefault="007A0F62">
      <w:pPr>
        <w:pStyle w:val="WordDefaultStyleA"/>
        <w:jc w:val="left"/>
      </w:pPr>
      <w:r>
        <w:t>(**) Źródło: Riksbanken (</w:t>
      </w:r>
      <w:r w:rsidR="00BA4E70">
        <w:fldChar w:fldCharType="begin"/>
      </w:r>
      <w:r w:rsidR="00BA4E70">
        <w:instrText>HYPERLINK "http://www.riksbanken.se/"</w:instrText>
      </w:r>
      <w:r w:rsidR="00BA4E70">
        <w:fldChar w:fldCharType="separate"/>
      </w:r>
      <w:r>
        <w:rPr>
          <w:rStyle w:val="Hyperlink0"/>
        </w:rPr>
        <w:t>www.riksbanken.se</w:t>
      </w:r>
      <w:r w:rsidR="00BA4E70">
        <w:rPr>
          <w:rStyle w:val="Hyperlink0"/>
        </w:rPr>
        <w:fldChar w:fldCharType="end"/>
      </w:r>
      <w:r>
        <w:rPr>
          <w:rStyle w:val="Brak"/>
        </w:rPr>
        <w:t>), Norges Bank (</w:t>
      </w:r>
      <w:r w:rsidR="00BA4E70">
        <w:fldChar w:fldCharType="begin"/>
      </w:r>
      <w:r w:rsidR="00BA4E70">
        <w:instrText>HYPERLINK "http://www.norges-bank.no/"</w:instrText>
      </w:r>
      <w:r w:rsidR="00BA4E70">
        <w:fldChar w:fldCharType="separate"/>
      </w:r>
      <w:r w:rsidRPr="00511909">
        <w:rPr>
          <w:rStyle w:val="Hyperlink1"/>
          <w:lang w:val="sv-SE"/>
        </w:rPr>
        <w:t>http://www.norges-bank.no/</w:t>
      </w:r>
      <w:r w:rsidR="00BA4E70">
        <w:rPr>
          <w:rStyle w:val="Hyperlink1"/>
        </w:rPr>
        <w:fldChar w:fldCharType="end"/>
      </w:r>
      <w:r>
        <w:rPr>
          <w:rStyle w:val="Brak"/>
        </w:rPr>
        <w:t>), Danmarks Nationalbanken (</w:t>
      </w:r>
      <w:r w:rsidR="00BA4E70">
        <w:fldChar w:fldCharType="begin"/>
      </w:r>
      <w:r w:rsidR="00BA4E70">
        <w:instrText>HYPERLINK "https://www.nationalbanken.dk/"</w:instrText>
      </w:r>
      <w:r w:rsidR="00BA4E70">
        <w:fldChar w:fldCharType="separate"/>
      </w:r>
      <w:r w:rsidRPr="00511909">
        <w:rPr>
          <w:rStyle w:val="Hyperlink2"/>
          <w:lang w:val="sv-SE"/>
        </w:rPr>
        <w:t>https://www.nationalbanken.dk</w:t>
      </w:r>
      <w:r w:rsidR="00BA4E70">
        <w:rPr>
          <w:rStyle w:val="Hyperlink2"/>
        </w:rPr>
        <w:fldChar w:fldCharType="end"/>
      </w:r>
      <w:r>
        <w:rPr>
          <w:rStyle w:val="Brak"/>
        </w:rPr>
        <w:t>), NBP (</w:t>
      </w:r>
      <w:r w:rsidR="00BA4E70">
        <w:fldChar w:fldCharType="begin"/>
      </w:r>
      <w:r w:rsidR="00BA4E70">
        <w:instrText>HYPERLINK "http://nbp.pl/"</w:instrText>
      </w:r>
      <w:r w:rsidR="00BA4E70">
        <w:fldChar w:fldCharType="separate"/>
      </w:r>
      <w:r>
        <w:rPr>
          <w:rStyle w:val="Hyperlink3"/>
        </w:rPr>
        <w:t>nbp.pl</w:t>
      </w:r>
      <w:r w:rsidR="00BA4E70">
        <w:rPr>
          <w:rStyle w:val="Hyperlink3"/>
        </w:rPr>
        <w:fldChar w:fldCharType="end"/>
      </w:r>
      <w:r>
        <w:rPr>
          <w:rStyle w:val="Brak"/>
        </w:rPr>
        <w:t>)</w:t>
      </w:r>
    </w:p>
    <w:p w14:paraId="2028DF93" w14:textId="77777777" w:rsidR="00B62810" w:rsidRDefault="00B62810">
      <w:pPr>
        <w:pStyle w:val="WordDefaultStyleA"/>
        <w:jc w:val="left"/>
        <w:rPr>
          <w:rStyle w:val="BrakA"/>
        </w:rPr>
      </w:pPr>
    </w:p>
    <w:p w14:paraId="5B15D88D" w14:textId="77777777" w:rsidR="00B62810" w:rsidRDefault="00B62810">
      <w:pPr>
        <w:pStyle w:val="WordDefaultStyleA"/>
        <w:jc w:val="left"/>
        <w:rPr>
          <w:rStyle w:val="BrakA"/>
        </w:rPr>
      </w:pPr>
    </w:p>
    <w:p w14:paraId="7021845E" w14:textId="77777777" w:rsidR="00B62810" w:rsidRDefault="00B62810">
      <w:pPr>
        <w:pStyle w:val="WordDefaultStyleA"/>
        <w:jc w:val="left"/>
        <w:rPr>
          <w:rStyle w:val="BrakA"/>
        </w:rPr>
      </w:pPr>
    </w:p>
    <w:p w14:paraId="50E0009C" w14:textId="77777777" w:rsidR="00B62810" w:rsidRDefault="007A0F62" w:rsidP="00511909">
      <w:pPr>
        <w:pStyle w:val="WordDefaultStyleA"/>
      </w:pPr>
      <w:r>
        <w:rPr>
          <w:rStyle w:val="BrakA"/>
        </w:rPr>
        <w:t>Dzięki powyższemu zestawieniu możemy łatwiej zrozumieć, że:</w:t>
      </w:r>
    </w:p>
    <w:p w14:paraId="3C844141" w14:textId="77777777" w:rsidR="00B62810" w:rsidRDefault="007A0F62" w:rsidP="00511909">
      <w:pPr>
        <w:pStyle w:val="WordDefaultStyleA"/>
        <w:numPr>
          <w:ilvl w:val="0"/>
          <w:numId w:val="2"/>
        </w:numPr>
      </w:pPr>
      <w:r>
        <w:rPr>
          <w:rStyle w:val="BrakA"/>
        </w:rPr>
        <w:t xml:space="preserve">Kraje nordyckie zamieszkuje łącznie zaledwie 27,5 miliona Nordyków czyli jest ich ponad 10 milionów mniej niż rezydentów Polski; struktura zaludnienia rozkłada się na północy podobnie </w:t>
      </w:r>
      <w:r>
        <w:rPr>
          <w:rStyle w:val="Brak"/>
        </w:rPr>
        <w:t>–</w:t>
      </w:r>
      <w:r>
        <w:rPr>
          <w:rStyle w:val="BrakA"/>
        </w:rPr>
        <w:t xml:space="preserve"> każda stolica liczy ponad milion mieszkańców (Sztokholm – ponad 1,5 miliona), a kolejne duże miasta są już dużo mniejsze (Göteborg liczy niecała 500 000 mieszkańców, Malmö około 300 000, a miasta zachodniej Norwegii, ośrodki duńskiej Jutlandii czy centralnej Finlandii zamieszkuje między 200 000 a 275 000 Nordyków.</w:t>
      </w:r>
    </w:p>
    <w:p w14:paraId="38C839A0" w14:textId="77777777" w:rsidR="00B62810" w:rsidRDefault="007A0F62" w:rsidP="00511909">
      <w:pPr>
        <w:pStyle w:val="WordDefaultStyleA"/>
        <w:numPr>
          <w:ilvl w:val="0"/>
          <w:numId w:val="2"/>
        </w:numPr>
      </w:pPr>
      <w:r>
        <w:rPr>
          <w:rStyle w:val="BrakA"/>
        </w:rPr>
        <w:t xml:space="preserve">Wzrasta odsetek ludności urodzonej poza krajem zamieszkania, a jeśli doliczymy do tego potomków, urodzonych w krajach nordyckich ale wychowanych w rodzinach imigranckich to można założyć, że jedna czwarta mieszkańców Szwecji lub Norwegii ma wielokulturowe wzorce zachowania i mentalność różną od spodziewanych stereotypów. </w:t>
      </w:r>
    </w:p>
    <w:p w14:paraId="74576EE3" w14:textId="77777777" w:rsidR="00B62810" w:rsidRDefault="007A0F62" w:rsidP="00511909">
      <w:pPr>
        <w:pStyle w:val="WordDefaultStyleA"/>
        <w:numPr>
          <w:ilvl w:val="0"/>
          <w:numId w:val="2"/>
        </w:numPr>
      </w:pPr>
      <w:r>
        <w:rPr>
          <w:rStyle w:val="BrakA"/>
        </w:rPr>
        <w:t>Tempo wzrostu PKB nadal malało w 2023 roku na całym świecie jednak to Szwecja i Finlandia zostały najbardziej dotknięte kryzysem gospodarczym w Europie. Do głównych przyczyn należy zaliczyć głęboki kryzys energetyczny i raptowną podwyżkę oprocentowania kredytów, które przełożyły się na spadek siły nabywczej gospodarstw domowych i spadek popytu.</w:t>
      </w:r>
    </w:p>
    <w:p w14:paraId="5945EA68" w14:textId="77777777" w:rsidR="00B62810" w:rsidRDefault="007A0F62" w:rsidP="00511909">
      <w:pPr>
        <w:pStyle w:val="WordDefaultStyleA"/>
        <w:numPr>
          <w:ilvl w:val="0"/>
          <w:numId w:val="2"/>
        </w:numPr>
      </w:pPr>
      <w:r>
        <w:rPr>
          <w:rStyle w:val="BrakA"/>
        </w:rPr>
        <w:t>Pod koniec 2023 roku udało się wyhamować inflację, spadły także ceny żywności – wszędzie poza Norwegią, gdzie nadal sytuacja jest najtrudniejsza w porównaniu z pozostałymi krajami nordyckimi. Jednak należy pamiętać, że jeszcze w czerwcu 2023 roku inflacja cen artykułów spożywczych w Norwegii wynosiła ponad dwukrotnie więcej niż pod koniec roku.</w:t>
      </w:r>
    </w:p>
    <w:p w14:paraId="6A3E8001" w14:textId="77777777" w:rsidR="00B62810" w:rsidRDefault="007A0F62" w:rsidP="00511909">
      <w:pPr>
        <w:pStyle w:val="WordDefaultStyleA"/>
        <w:numPr>
          <w:ilvl w:val="0"/>
          <w:numId w:val="2"/>
        </w:numPr>
      </w:pPr>
      <w:r>
        <w:rPr>
          <w:rStyle w:val="BrakA"/>
        </w:rPr>
        <w:t>Dzięki stabilnym warunkom zatrudnienia, gwarantowanym przez umowy przedsiębiorstw ze związkami zawodowymi oraz przepisy prawa pracy, wymagania nordyckich instytucji kredytowych były dużo mniejsze niż chociażby w Polsce, co spowodowało, że prawie każde gospodarstwo domowe funkcjonuje dziś w mieszkaniu obciążonym kredytem, wyposażonym w sprzęt kupiony na raty i użytkuje 1-2 samochody w prywatnym leasingu. Jednak, by przeciwdziałać narastającej inflacji, w 2023 roku banki centralne krajów nordyckich kontynuowały  podnoszenie stóp procentowych – przykładowo stopa referencyjna szwedzkiego Riksbanken wynosiła w styczniu 2022 0% a pod koniec 2023 roku ponad 4%, co w praktyce przełożyło się na znaczący wzrost raty kredytu konsumpcyjnego dla przeciętnego Szweda. Szwedzki poziom zadłużenia gospodarstw domowych wyniósł na koniec 2023 roku prawie 84% produktu krajowego brutto, rekordowo dużo w porównaniu z sytuacją fińskiego konsumenta (63%) i ponad trzykrotnie więcej od polskiego gospodarstwa domowego, gdzie wymagania stawiane przyszłym kredytobiorcom bardziej ograniczają liczbę udzielanych kredytów.</w:t>
      </w:r>
    </w:p>
    <w:p w14:paraId="7AC1999A" w14:textId="77777777" w:rsidR="00B62810" w:rsidRDefault="007A0F62" w:rsidP="00511909">
      <w:pPr>
        <w:pStyle w:val="WordDefaultStyleA"/>
        <w:numPr>
          <w:ilvl w:val="0"/>
          <w:numId w:val="2"/>
        </w:numPr>
      </w:pPr>
      <w:r>
        <w:rPr>
          <w:rStyle w:val="BrakA"/>
        </w:rPr>
        <w:t>Stopa bezrobocia utrzymała się we wszystkich krajach na poziomie zbliżonym do 2022 roku. Nadal najbardziej stabilnie jest w Danii, podczas gdy Szwedzi i Finowie mają sytuację trudniejszą na rynku pracy niż Polacy.</w:t>
      </w:r>
    </w:p>
    <w:p w14:paraId="702E90B8" w14:textId="77777777" w:rsidR="00B62810" w:rsidRDefault="007A0F62" w:rsidP="00511909">
      <w:pPr>
        <w:pStyle w:val="WordDefaultStyleA"/>
        <w:numPr>
          <w:ilvl w:val="0"/>
          <w:numId w:val="2"/>
        </w:numPr>
      </w:pPr>
      <w:r>
        <w:rPr>
          <w:rStyle w:val="BrakA"/>
        </w:rPr>
        <w:t xml:space="preserve">Kursy wymiany walut to kolejne dane ekonomiczne, które mają wpływ na rozwój ruchu turystycznego. W 2023 roku doszło do kolejnego znaczącego osłabienia wartości walut nordyckich, szczególnie w odniesieniu do Euro, amerykańskiego dolara i szwajcarskiego franka. Wobec walut niepowiązanych z Euro wartość pieniędzy nordyckich nie uległa tak dużej deprecjacji, co można potraktować jako szansę dla </w:t>
      </w:r>
      <w:r>
        <w:rPr>
          <w:rStyle w:val="BrakA"/>
        </w:rPr>
        <w:lastRenderedPageBreak/>
        <w:t>destynacji, w których kurs wymiany dewiz nie zależy od wartości jednostki monetarnej Unii Europejskiej.</w:t>
      </w:r>
      <w:r>
        <w:rPr>
          <w:rStyle w:val="BrakA"/>
          <w:rFonts w:ascii="Arial Unicode MS" w:hAnsi="Arial Unicode MS"/>
        </w:rPr>
        <w:br w:type="page"/>
      </w:r>
    </w:p>
    <w:p w14:paraId="4572D2B6" w14:textId="77777777" w:rsidR="00B62810" w:rsidRDefault="007A0F62">
      <w:pPr>
        <w:pStyle w:val="BodyA"/>
        <w:keepNext/>
        <w:shd w:val="clear" w:color="auto" w:fill="548DD4"/>
        <w:spacing w:after="60"/>
        <w:ind w:right="142"/>
      </w:pPr>
      <w:bookmarkStart w:id="2" w:name="_headingh.30j0zll"/>
      <w:bookmarkStart w:id="3" w:name="_Toc1"/>
      <w:bookmarkEnd w:id="2"/>
      <w:r>
        <w:rPr>
          <w:rStyle w:val="Brak"/>
          <w:rFonts w:ascii="Cambria" w:hAnsi="Cambria"/>
          <w:b/>
          <w:bCs/>
          <w:color w:val="FFFFFF"/>
          <w:sz w:val="28"/>
          <w:szCs w:val="28"/>
        </w:rPr>
        <w:lastRenderedPageBreak/>
        <w:t>2. Sytuacja na rynku turystycznym</w:t>
      </w:r>
      <w:bookmarkEnd w:id="3"/>
    </w:p>
    <w:p w14:paraId="610A714C" w14:textId="77777777" w:rsidR="00B62810" w:rsidRDefault="00B62810">
      <w:pPr>
        <w:pStyle w:val="BodyA"/>
        <w:rPr>
          <w:rStyle w:val="Brak"/>
          <w:rFonts w:ascii="Cambria" w:eastAsia="Cambria" w:hAnsi="Cambria" w:cs="Cambria"/>
          <w:u w:color="000000"/>
        </w:rPr>
      </w:pPr>
    </w:p>
    <w:p w14:paraId="68A96100" w14:textId="77777777" w:rsidR="00B62810" w:rsidRDefault="007A0F62" w:rsidP="00511909">
      <w:pPr>
        <w:pStyle w:val="WordDefaultStyleA"/>
      </w:pPr>
      <w:r>
        <w:rPr>
          <w:rStyle w:val="Brak"/>
          <w:b/>
          <w:bCs/>
        </w:rPr>
        <w:t>2.1 SZWECJA – dane statystyczne dotyczące ruchu turystycznego.</w:t>
      </w:r>
    </w:p>
    <w:p w14:paraId="44FB2886" w14:textId="77777777" w:rsidR="00B62810" w:rsidRDefault="007A0F62" w:rsidP="00511909">
      <w:pPr>
        <w:pStyle w:val="WordDefaultStyleA"/>
      </w:pPr>
      <w:r>
        <w:rPr>
          <w:rStyle w:val="BrakA"/>
        </w:rPr>
        <w:t>Szwedzka Agencja Rozwoju Gospodarczego i Regionalnego (</w:t>
      </w:r>
      <w:r w:rsidR="00BA4E70">
        <w:fldChar w:fldCharType="begin"/>
      </w:r>
      <w:r w:rsidR="00BA4E70">
        <w:instrText>HYPERLINK "http://www.tillvaxtverket.se/"</w:instrText>
      </w:r>
      <w:r w:rsidR="00BA4E70">
        <w:fldChar w:fldCharType="separate"/>
      </w:r>
      <w:r>
        <w:rPr>
          <w:rStyle w:val="Hyperlink4"/>
        </w:rPr>
        <w:t>www.tillvaxtverket.se</w:t>
      </w:r>
      <w:r w:rsidR="00BA4E70">
        <w:rPr>
          <w:rStyle w:val="Hyperlink4"/>
        </w:rPr>
        <w:fldChar w:fldCharType="end"/>
      </w:r>
      <w:r>
        <w:rPr>
          <w:rStyle w:val="BrakA"/>
        </w:rPr>
        <w:t xml:space="preserve">) dysponuje opracowaniem danych statystycznych gospodarki turystycznej, włącznie z informacjami odnośnie turystyki wyjazdowej Szwedów jednak najnowsze wydanie obejmuje 2021 rok. O ile dane dotyczące turystyki krajowej i przyjazdowej do Szwecji były gromadzone we współpracy ze Szwedzkim Urzędem Statystycznym (SCB, </w:t>
      </w:r>
      <w:r w:rsidR="00BA4E70">
        <w:fldChar w:fldCharType="begin"/>
      </w:r>
      <w:r w:rsidR="00BA4E70">
        <w:instrText>HYPERLINK "https://www.scb.se/"</w:instrText>
      </w:r>
      <w:r w:rsidR="00BA4E70">
        <w:fldChar w:fldCharType="separate"/>
      </w:r>
      <w:r>
        <w:rPr>
          <w:rStyle w:val="Hyperlink5"/>
        </w:rPr>
        <w:t>https://www.scb.se</w:t>
      </w:r>
      <w:r w:rsidR="00BA4E70">
        <w:rPr>
          <w:rStyle w:val="Hyperlink5"/>
        </w:rPr>
        <w:fldChar w:fldCharType="end"/>
      </w:r>
      <w:r>
        <w:rPr>
          <w:rStyle w:val="BrakA"/>
        </w:rPr>
        <w:t>) już od 2017 roku tak informacje odnośnie wyjazdów mieszkańców Szwecji zagranicę analizowane są dopiero od 2019 roku i nie są porównywalne z wcześniejszymi latami ze względu na pandemię COVID-19 oraz fakt realizacji badań statystycznych przez organizacje zewnętrzne.</w:t>
      </w:r>
    </w:p>
    <w:p w14:paraId="724E6941" w14:textId="77777777" w:rsidR="00B62810" w:rsidRDefault="00B62810" w:rsidP="00511909">
      <w:pPr>
        <w:pStyle w:val="WordDefaultStyleA"/>
        <w:rPr>
          <w:rStyle w:val="BrakA"/>
          <w:sz w:val="22"/>
          <w:szCs w:val="22"/>
        </w:rPr>
      </w:pPr>
    </w:p>
    <w:p w14:paraId="4528D4E1" w14:textId="77777777" w:rsidR="00B62810" w:rsidRDefault="007A0F62" w:rsidP="00511909">
      <w:pPr>
        <w:pStyle w:val="WordDefaultStyleA"/>
      </w:pPr>
      <w:r>
        <w:rPr>
          <w:rStyle w:val="Brak"/>
        </w:rPr>
        <w:t>Również baza Eurostat (</w:t>
      </w:r>
      <w:r w:rsidR="00BA4E70">
        <w:fldChar w:fldCharType="begin"/>
      </w:r>
      <w:r w:rsidR="00BA4E70">
        <w:instrText>HYPERLINK "http://ec.europa.eu/eurostat"</w:instrText>
      </w:r>
      <w:r w:rsidR="00BA4E70">
        <w:fldChar w:fldCharType="separate"/>
      </w:r>
      <w:r w:rsidRPr="00511909">
        <w:rPr>
          <w:rStyle w:val="Hyperlink6"/>
          <w:lang w:val="pl-PL"/>
        </w:rPr>
        <w:t>http://ec.europa.eu/eurostat</w:t>
      </w:r>
      <w:r w:rsidR="00BA4E70">
        <w:rPr>
          <w:rStyle w:val="Hyperlink6"/>
        </w:rPr>
        <w:fldChar w:fldCharType="end"/>
      </w:r>
      <w:r>
        <w:rPr>
          <w:rStyle w:val="Brak"/>
        </w:rPr>
        <w:t>) nie prezentuje interesujących nas danych.</w:t>
      </w:r>
    </w:p>
    <w:p w14:paraId="4A7B95BA" w14:textId="77777777" w:rsidR="00B62810" w:rsidRDefault="00B62810" w:rsidP="00511909">
      <w:pPr>
        <w:pStyle w:val="WordDefaultStyleA"/>
        <w:rPr>
          <w:rStyle w:val="BrakA"/>
        </w:rPr>
      </w:pPr>
    </w:p>
    <w:p w14:paraId="022BE02F" w14:textId="77777777" w:rsidR="00B62810" w:rsidRDefault="00B62810" w:rsidP="00511909">
      <w:pPr>
        <w:pStyle w:val="WordDefaultStyleA"/>
        <w:rPr>
          <w:rStyle w:val="BrakA"/>
        </w:rPr>
      </w:pPr>
    </w:p>
    <w:p w14:paraId="684415DB" w14:textId="77777777" w:rsidR="00B62810" w:rsidRDefault="007A0F62" w:rsidP="00511909">
      <w:pPr>
        <w:pStyle w:val="WordDefaultStyleA"/>
      </w:pPr>
      <w:r>
        <w:rPr>
          <w:rStyle w:val="Brak"/>
          <w:b/>
          <w:bCs/>
        </w:rPr>
        <w:t>2.2 NORWEGIA - Dane statystyczne dotyczące ruchu turystycznego.</w:t>
      </w:r>
    </w:p>
    <w:p w14:paraId="170767E7" w14:textId="77777777" w:rsidR="00B62810" w:rsidRDefault="007A0F62">
      <w:pPr>
        <w:pStyle w:val="WordDefaultStyleA"/>
        <w:jc w:val="left"/>
      </w:pPr>
      <w:r>
        <w:rPr>
          <w:rStyle w:val="Brak"/>
        </w:rPr>
        <w:t>Dane zestawione w oparciu o badania Norweskiego Centralnego Biura Statystycznego (</w:t>
      </w:r>
      <w:r w:rsidR="00BA4E70">
        <w:fldChar w:fldCharType="begin"/>
      </w:r>
      <w:r w:rsidR="00BA4E70">
        <w:instrText>HYPERLINK "http://www.ssb.no/"</w:instrText>
      </w:r>
      <w:r w:rsidR="00BA4E70">
        <w:fldChar w:fldCharType="separate"/>
      </w:r>
      <w:r w:rsidRPr="00511909">
        <w:rPr>
          <w:rStyle w:val="Hyperlink7"/>
          <w:lang w:val="pl-PL"/>
        </w:rPr>
        <w:t>http://www.ssb.no</w:t>
      </w:r>
      <w:r w:rsidR="00BA4E70">
        <w:rPr>
          <w:rStyle w:val="Hyperlink7"/>
        </w:rPr>
        <w:fldChar w:fldCharType="end"/>
      </w:r>
      <w:r>
        <w:rPr>
          <w:rStyle w:val="Brak"/>
        </w:rPr>
        <w:t>):</w:t>
      </w:r>
    </w:p>
    <w:tbl>
      <w:tblPr>
        <w:tblStyle w:val="TableNormal"/>
        <w:tblW w:w="906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39"/>
        <w:gridCol w:w="1314"/>
        <w:gridCol w:w="1197"/>
        <w:gridCol w:w="1632"/>
        <w:gridCol w:w="1782"/>
      </w:tblGrid>
      <w:tr w:rsidR="00B62810" w14:paraId="6C87AFC4" w14:textId="77777777">
        <w:trPr>
          <w:trHeight w:val="730"/>
        </w:trPr>
        <w:tc>
          <w:tcPr>
            <w:tcW w:w="313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229BE45" w14:textId="77777777" w:rsidR="00B62810" w:rsidRDefault="007A0F62">
            <w:pPr>
              <w:pStyle w:val="TreA"/>
            </w:pPr>
            <w:r>
              <w:rPr>
                <w:rStyle w:val="Brak"/>
              </w:rPr>
              <w:t>Dane statystyczne:</w:t>
            </w:r>
          </w:p>
        </w:tc>
        <w:tc>
          <w:tcPr>
            <w:tcW w:w="1314"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6751D21" w14:textId="77777777" w:rsidR="00B62810" w:rsidRDefault="007A0F62">
            <w:pPr>
              <w:pStyle w:val="Body"/>
              <w:widowControl w:val="0"/>
              <w:jc w:val="center"/>
            </w:pPr>
            <w:r>
              <w:rPr>
                <w:rStyle w:val="Brak"/>
                <w:rFonts w:ascii="Cambria" w:hAnsi="Cambria"/>
                <w:sz w:val="22"/>
                <w:szCs w:val="22"/>
              </w:rPr>
              <w:t>2022</w:t>
            </w:r>
          </w:p>
        </w:tc>
        <w:tc>
          <w:tcPr>
            <w:tcW w:w="1197"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35EB6071" w14:textId="77777777" w:rsidR="00B62810" w:rsidRDefault="007A0F62">
            <w:pPr>
              <w:pStyle w:val="Body"/>
              <w:widowControl w:val="0"/>
              <w:jc w:val="center"/>
            </w:pPr>
            <w:r>
              <w:rPr>
                <w:rStyle w:val="Brak"/>
                <w:rFonts w:ascii="Cambria" w:hAnsi="Cambria"/>
                <w:sz w:val="22"/>
                <w:szCs w:val="22"/>
              </w:rPr>
              <w:t>2023</w:t>
            </w:r>
          </w:p>
        </w:tc>
        <w:tc>
          <w:tcPr>
            <w:tcW w:w="1631"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21DFA6A5" w14:textId="77777777" w:rsidR="00B62810" w:rsidRDefault="007A0F62">
            <w:pPr>
              <w:pStyle w:val="BodyA"/>
              <w:widowControl w:val="0"/>
              <w:jc w:val="center"/>
              <w:rPr>
                <w:rStyle w:val="Brak"/>
                <w:u w:color="000000"/>
              </w:rPr>
            </w:pPr>
            <w:r>
              <w:rPr>
                <w:rStyle w:val="Brak"/>
                <w:rFonts w:ascii="Cambria" w:hAnsi="Cambria"/>
                <w:sz w:val="22"/>
                <w:szCs w:val="22"/>
                <w:u w:color="000000"/>
              </w:rPr>
              <w:t xml:space="preserve"> 2023 </w:t>
            </w:r>
          </w:p>
          <w:p w14:paraId="1C08C862" w14:textId="77777777" w:rsidR="00B62810" w:rsidRDefault="007A0F62">
            <w:pPr>
              <w:pStyle w:val="BodyA"/>
              <w:widowControl w:val="0"/>
              <w:jc w:val="center"/>
            </w:pPr>
            <w:r>
              <w:rPr>
                <w:rStyle w:val="Brak"/>
                <w:rFonts w:ascii="Cambria" w:hAnsi="Cambria"/>
                <w:sz w:val="22"/>
                <w:szCs w:val="22"/>
                <w:u w:color="000000"/>
                <w:lang w:val="it-IT"/>
              </w:rPr>
              <w:t>(por</w:t>
            </w:r>
            <w:proofErr w:type="spellStart"/>
            <w:r>
              <w:rPr>
                <w:rStyle w:val="Brak"/>
                <w:rFonts w:ascii="Cambria" w:hAnsi="Cambria"/>
                <w:sz w:val="22"/>
                <w:szCs w:val="22"/>
                <w:u w:color="000000"/>
                <w:lang w:val="es-ES_tradnl"/>
              </w:rPr>
              <w:t>ó</w:t>
            </w:r>
            <w:proofErr w:type="spellEnd"/>
            <w:r>
              <w:rPr>
                <w:rStyle w:val="Brak"/>
                <w:rFonts w:ascii="Cambria" w:hAnsi="Cambria"/>
                <w:sz w:val="22"/>
                <w:szCs w:val="22"/>
                <w:u w:color="000000"/>
              </w:rPr>
              <w:t>wnanie z 2022)</w:t>
            </w:r>
          </w:p>
        </w:tc>
        <w:tc>
          <w:tcPr>
            <w:tcW w:w="1781"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7FC132C" w14:textId="77777777" w:rsidR="00B62810" w:rsidRDefault="007A0F62">
            <w:pPr>
              <w:pStyle w:val="Body"/>
              <w:widowControl w:val="0"/>
              <w:jc w:val="center"/>
              <w:rPr>
                <w:rStyle w:val="Brak"/>
              </w:rPr>
            </w:pPr>
            <w:r>
              <w:rPr>
                <w:rStyle w:val="Brak"/>
                <w:rFonts w:ascii="Cambria" w:hAnsi="Cambria"/>
                <w:sz w:val="22"/>
                <w:szCs w:val="22"/>
              </w:rPr>
              <w:t>2023</w:t>
            </w:r>
          </w:p>
          <w:p w14:paraId="3C7841F9" w14:textId="77777777" w:rsidR="00B62810" w:rsidRDefault="007A0F62">
            <w:pPr>
              <w:pStyle w:val="Body"/>
              <w:widowControl w:val="0"/>
              <w:jc w:val="center"/>
            </w:pPr>
            <w:r>
              <w:rPr>
                <w:rStyle w:val="Brak"/>
                <w:rFonts w:ascii="Cambria" w:hAnsi="Cambria"/>
                <w:sz w:val="22"/>
                <w:szCs w:val="22"/>
              </w:rPr>
              <w:t xml:space="preserve"> (</w:t>
            </w:r>
            <w:proofErr w:type="spellStart"/>
            <w:r>
              <w:rPr>
                <w:rStyle w:val="Brak"/>
                <w:rFonts w:ascii="Cambria" w:hAnsi="Cambria"/>
                <w:sz w:val="22"/>
                <w:szCs w:val="22"/>
              </w:rPr>
              <w:t>por</w:t>
            </w:r>
            <w:r>
              <w:rPr>
                <w:rStyle w:val="Brak"/>
                <w:rFonts w:ascii="Cambria" w:hAnsi="Cambria"/>
                <w:sz w:val="22"/>
                <w:szCs w:val="22"/>
                <w:lang w:val="es-ES_tradnl"/>
              </w:rPr>
              <w:t>ó</w:t>
            </w:r>
            <w:r>
              <w:rPr>
                <w:rStyle w:val="Brak"/>
                <w:rFonts w:ascii="Cambria" w:hAnsi="Cambria"/>
                <w:sz w:val="22"/>
                <w:szCs w:val="22"/>
              </w:rPr>
              <w:t>wnanie</w:t>
            </w:r>
            <w:proofErr w:type="spellEnd"/>
            <w:r>
              <w:rPr>
                <w:rStyle w:val="Brak"/>
                <w:rFonts w:ascii="Cambria" w:hAnsi="Cambria"/>
                <w:sz w:val="22"/>
                <w:szCs w:val="22"/>
              </w:rPr>
              <w:t xml:space="preserve"> z 2019)</w:t>
            </w:r>
          </w:p>
        </w:tc>
      </w:tr>
      <w:tr w:rsidR="00B62810" w14:paraId="3A0B8E2B" w14:textId="77777777">
        <w:trPr>
          <w:trHeight w:val="490"/>
        </w:trPr>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EE8E4" w14:textId="77777777" w:rsidR="00B62810" w:rsidRPr="00511909" w:rsidRDefault="007A0F62">
            <w:pPr>
              <w:pStyle w:val="Body"/>
              <w:widowControl w:val="0"/>
              <w:rPr>
                <w:lang w:val="pl-PL"/>
              </w:rPr>
            </w:pPr>
            <w:r w:rsidRPr="00511909">
              <w:rPr>
                <w:rStyle w:val="Brak"/>
                <w:rFonts w:ascii="Cambria" w:hAnsi="Cambria"/>
                <w:sz w:val="22"/>
                <w:szCs w:val="22"/>
                <w:lang w:val="pl-PL"/>
              </w:rPr>
              <w:t>Liczba  wyjazd</w:t>
            </w:r>
            <w:proofErr w:type="spellStart"/>
            <w:r>
              <w:rPr>
                <w:rStyle w:val="Brak"/>
                <w:rFonts w:ascii="Cambria" w:hAnsi="Cambria"/>
                <w:sz w:val="22"/>
                <w:szCs w:val="22"/>
                <w:lang w:val="es-ES_tradnl"/>
              </w:rPr>
              <w:t>ó</w:t>
            </w:r>
            <w:proofErr w:type="spellEnd"/>
            <w:r w:rsidRPr="00511909">
              <w:rPr>
                <w:rStyle w:val="Brak"/>
                <w:rFonts w:ascii="Cambria" w:hAnsi="Cambria"/>
                <w:sz w:val="22"/>
                <w:szCs w:val="22"/>
                <w:lang w:val="pl-PL"/>
              </w:rPr>
              <w:t>w z co najmniej 1 noclegiem (w tys.)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941E1" w14:textId="77777777" w:rsidR="00B62810" w:rsidRDefault="007A0F62">
            <w:pPr>
              <w:pStyle w:val="Body"/>
              <w:widowControl w:val="0"/>
              <w:jc w:val="center"/>
            </w:pPr>
            <w:r>
              <w:rPr>
                <w:rStyle w:val="Brak"/>
                <w:rFonts w:ascii="Cambria" w:hAnsi="Cambria"/>
                <w:sz w:val="22"/>
                <w:szCs w:val="22"/>
              </w:rPr>
              <w:t>28 840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91206A" w14:textId="77777777" w:rsidR="00B62810" w:rsidRDefault="007A0F62">
            <w:pPr>
              <w:pStyle w:val="Body"/>
              <w:widowControl w:val="0"/>
              <w:jc w:val="center"/>
            </w:pPr>
            <w:r>
              <w:rPr>
                <w:rStyle w:val="Brak"/>
                <w:rFonts w:ascii="Cambria" w:hAnsi="Cambria"/>
                <w:sz w:val="22"/>
                <w:szCs w:val="22"/>
              </w:rPr>
              <w:t>30 330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956DE1" w14:textId="77777777" w:rsidR="00B62810" w:rsidRDefault="007A0F62">
            <w:pPr>
              <w:pStyle w:val="BodyA"/>
              <w:widowControl w:val="0"/>
              <w:jc w:val="center"/>
            </w:pPr>
            <w:r>
              <w:rPr>
                <w:rStyle w:val="Brak"/>
                <w:u w:color="000000"/>
              </w:rPr>
              <w:t xml:space="preserve">1 490 </w:t>
            </w:r>
            <w:r>
              <w:rPr>
                <w:rStyle w:val="Brak"/>
                <w:rFonts w:ascii="Cambria" w:hAnsi="Cambria"/>
                <w:b/>
                <w:bCs/>
                <w:sz w:val="22"/>
                <w:szCs w:val="22"/>
                <w:u w:color="000000"/>
              </w:rPr>
              <w:t>(+5%)</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A535BF" w14:textId="77777777" w:rsidR="00B62810" w:rsidRDefault="007A0F62">
            <w:pPr>
              <w:pStyle w:val="Body"/>
              <w:widowControl w:val="0"/>
              <w:jc w:val="center"/>
            </w:pPr>
            <w:r>
              <w:rPr>
                <w:rStyle w:val="Brak"/>
                <w:rFonts w:ascii="Cambria" w:hAnsi="Cambria"/>
                <w:sz w:val="22"/>
                <w:szCs w:val="22"/>
              </w:rPr>
              <w:t xml:space="preserve">6 750 </w:t>
            </w:r>
            <w:r>
              <w:rPr>
                <w:rStyle w:val="Brak"/>
                <w:rFonts w:ascii="Cambria" w:hAnsi="Cambria"/>
                <w:b/>
                <w:bCs/>
                <w:sz w:val="22"/>
                <w:szCs w:val="22"/>
              </w:rPr>
              <w:t>(+29%)</w:t>
            </w:r>
          </w:p>
        </w:tc>
      </w:tr>
      <w:tr w:rsidR="00B62810" w14:paraId="18E0B48C" w14:textId="77777777">
        <w:trPr>
          <w:trHeight w:val="730"/>
        </w:trPr>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9E0C9" w14:textId="77777777" w:rsidR="00B62810" w:rsidRPr="00511909" w:rsidRDefault="007A0F62">
            <w:pPr>
              <w:pStyle w:val="Body"/>
              <w:widowControl w:val="0"/>
              <w:rPr>
                <w:lang w:val="pl-PL"/>
              </w:rPr>
            </w:pPr>
            <w:r w:rsidRPr="00511909">
              <w:rPr>
                <w:rStyle w:val="Brak"/>
                <w:rFonts w:ascii="Cambria" w:hAnsi="Cambria"/>
                <w:sz w:val="22"/>
                <w:szCs w:val="22"/>
                <w:lang w:val="pl-PL"/>
              </w:rPr>
              <w:t>Liczba wyjazd</w:t>
            </w:r>
            <w:proofErr w:type="spellStart"/>
            <w:r>
              <w:rPr>
                <w:rStyle w:val="Brak"/>
                <w:rFonts w:ascii="Cambria" w:hAnsi="Cambria"/>
                <w:sz w:val="22"/>
                <w:szCs w:val="22"/>
                <w:lang w:val="es-ES_tradnl"/>
              </w:rPr>
              <w:t>ó</w:t>
            </w:r>
            <w:proofErr w:type="spellEnd"/>
            <w:r w:rsidRPr="00511909">
              <w:rPr>
                <w:rStyle w:val="Brak"/>
                <w:rFonts w:ascii="Cambria" w:hAnsi="Cambria"/>
                <w:sz w:val="22"/>
                <w:szCs w:val="22"/>
                <w:lang w:val="pl-PL"/>
              </w:rPr>
              <w:t xml:space="preserve">w </w:t>
            </w:r>
            <w:r w:rsidRPr="00511909">
              <w:rPr>
                <w:rStyle w:val="Brak"/>
                <w:rFonts w:ascii="Cambria" w:hAnsi="Cambria"/>
                <w:b/>
                <w:bCs/>
                <w:sz w:val="22"/>
                <w:szCs w:val="22"/>
                <w:lang w:val="pl-PL"/>
              </w:rPr>
              <w:t>krajowych</w:t>
            </w:r>
            <w:r w:rsidRPr="00511909">
              <w:rPr>
                <w:rStyle w:val="Brak"/>
                <w:rFonts w:ascii="Cambria" w:hAnsi="Cambria"/>
                <w:sz w:val="22"/>
                <w:szCs w:val="22"/>
                <w:lang w:val="pl-PL"/>
              </w:rPr>
              <w:t xml:space="preserve"> z co najmniej 1 noclegiem (w tys.)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116A2A" w14:textId="77777777" w:rsidR="00B62810" w:rsidRDefault="007A0F62">
            <w:pPr>
              <w:pStyle w:val="Body"/>
              <w:widowControl w:val="0"/>
              <w:jc w:val="center"/>
            </w:pPr>
            <w:r>
              <w:rPr>
                <w:rStyle w:val="Brak"/>
                <w:rFonts w:ascii="Cambria" w:hAnsi="Cambria"/>
                <w:sz w:val="22"/>
                <w:szCs w:val="22"/>
              </w:rPr>
              <w:t>21 790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2C3B8" w14:textId="77777777" w:rsidR="00B62810" w:rsidRDefault="007A0F62">
            <w:pPr>
              <w:pStyle w:val="Body"/>
              <w:widowControl w:val="0"/>
              <w:jc w:val="center"/>
            </w:pPr>
            <w:r>
              <w:rPr>
                <w:rStyle w:val="Brak"/>
                <w:rFonts w:ascii="Cambria" w:hAnsi="Cambria"/>
                <w:sz w:val="22"/>
                <w:szCs w:val="22"/>
              </w:rPr>
              <w:t>22 690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B4A5A" w14:textId="77777777" w:rsidR="00B62810" w:rsidRDefault="007A0F62">
            <w:pPr>
              <w:pStyle w:val="Body"/>
              <w:widowControl w:val="0"/>
              <w:jc w:val="center"/>
            </w:pPr>
            <w:r>
              <w:rPr>
                <w:rStyle w:val="Brak"/>
              </w:rPr>
              <w:t>900</w:t>
            </w:r>
            <w:r>
              <w:rPr>
                <w:rStyle w:val="Brak"/>
                <w:rFonts w:ascii="Cambria" w:hAnsi="Cambria"/>
                <w:sz w:val="22"/>
                <w:szCs w:val="22"/>
              </w:rPr>
              <w:t xml:space="preserve"> </w:t>
            </w:r>
            <w:r>
              <w:rPr>
                <w:rStyle w:val="Brak"/>
                <w:rFonts w:ascii="Cambria" w:hAnsi="Cambria"/>
                <w:b/>
                <w:bCs/>
                <w:sz w:val="22"/>
                <w:szCs w:val="22"/>
              </w:rPr>
              <w:t>(+4%)</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036BD" w14:textId="77777777" w:rsidR="00B62810" w:rsidRDefault="007A0F62">
            <w:pPr>
              <w:pStyle w:val="Body"/>
              <w:widowControl w:val="0"/>
              <w:jc w:val="center"/>
            </w:pPr>
            <w:r>
              <w:rPr>
                <w:rStyle w:val="Brak"/>
                <w:rFonts w:ascii="Cambria" w:hAnsi="Cambria"/>
                <w:sz w:val="22"/>
                <w:szCs w:val="22"/>
                <w:lang w:val="ru-RU"/>
              </w:rPr>
              <w:t xml:space="preserve">7 980 </w:t>
            </w:r>
            <w:r>
              <w:rPr>
                <w:rStyle w:val="Brak"/>
                <w:rFonts w:ascii="Cambria" w:hAnsi="Cambria"/>
                <w:b/>
                <w:bCs/>
                <w:sz w:val="22"/>
                <w:szCs w:val="22"/>
              </w:rPr>
              <w:t>(+54%)</w:t>
            </w:r>
          </w:p>
        </w:tc>
      </w:tr>
      <w:tr w:rsidR="00B62810" w14:paraId="140EE17E" w14:textId="77777777">
        <w:trPr>
          <w:trHeight w:val="730"/>
        </w:trPr>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B2810" w14:textId="77777777" w:rsidR="00B62810" w:rsidRPr="00511909" w:rsidRDefault="007A0F62">
            <w:pPr>
              <w:pStyle w:val="Body"/>
              <w:widowControl w:val="0"/>
              <w:rPr>
                <w:lang w:val="pl-PL"/>
              </w:rPr>
            </w:pPr>
            <w:r w:rsidRPr="00511909">
              <w:rPr>
                <w:rStyle w:val="Brak"/>
                <w:rFonts w:ascii="Cambria" w:hAnsi="Cambria"/>
                <w:sz w:val="22"/>
                <w:szCs w:val="22"/>
                <w:lang w:val="pl-PL"/>
              </w:rPr>
              <w:t>Liczba kr</w:t>
            </w:r>
            <w:proofErr w:type="spellStart"/>
            <w:r>
              <w:rPr>
                <w:rStyle w:val="Brak"/>
                <w:rFonts w:ascii="Cambria" w:hAnsi="Cambria"/>
                <w:sz w:val="22"/>
                <w:szCs w:val="22"/>
                <w:lang w:val="es-ES_tradnl"/>
              </w:rPr>
              <w:t>ó</w:t>
            </w:r>
            <w:r w:rsidRPr="00511909">
              <w:rPr>
                <w:rStyle w:val="Brak"/>
                <w:rFonts w:ascii="Cambria" w:hAnsi="Cambria"/>
                <w:sz w:val="22"/>
                <w:szCs w:val="22"/>
                <w:lang w:val="pl-PL"/>
              </w:rPr>
              <w:t>tkich</w:t>
            </w:r>
            <w:proofErr w:type="spellEnd"/>
            <w:r w:rsidRPr="00511909">
              <w:rPr>
                <w:rStyle w:val="Brak"/>
                <w:rFonts w:ascii="Cambria" w:hAnsi="Cambria"/>
                <w:sz w:val="22"/>
                <w:szCs w:val="22"/>
                <w:lang w:val="pl-PL"/>
              </w:rPr>
              <w:t xml:space="preserve"> wyjazd</w:t>
            </w:r>
            <w:proofErr w:type="spellStart"/>
            <w:r>
              <w:rPr>
                <w:rStyle w:val="Brak"/>
                <w:rFonts w:ascii="Cambria" w:hAnsi="Cambria"/>
                <w:sz w:val="22"/>
                <w:szCs w:val="22"/>
                <w:lang w:val="es-ES_tradnl"/>
              </w:rPr>
              <w:t>ó</w:t>
            </w:r>
            <w:proofErr w:type="spellEnd"/>
            <w:r w:rsidRPr="00511909">
              <w:rPr>
                <w:rStyle w:val="Brak"/>
                <w:rFonts w:ascii="Cambria" w:hAnsi="Cambria"/>
                <w:sz w:val="22"/>
                <w:szCs w:val="22"/>
                <w:lang w:val="pl-PL"/>
              </w:rPr>
              <w:t xml:space="preserve">w </w:t>
            </w:r>
            <w:r w:rsidRPr="00511909">
              <w:rPr>
                <w:rStyle w:val="Brak"/>
                <w:rFonts w:ascii="Cambria" w:hAnsi="Cambria"/>
                <w:b/>
                <w:bCs/>
                <w:sz w:val="22"/>
                <w:szCs w:val="22"/>
                <w:lang w:val="pl-PL"/>
              </w:rPr>
              <w:t>krajowych</w:t>
            </w:r>
            <w:r w:rsidRPr="00511909">
              <w:rPr>
                <w:rStyle w:val="Brak"/>
                <w:rFonts w:ascii="Cambria" w:hAnsi="Cambria"/>
                <w:sz w:val="22"/>
                <w:szCs w:val="22"/>
                <w:lang w:val="pl-PL"/>
              </w:rPr>
              <w:t xml:space="preserve"> 1+ nocy w celach turystycznych (w tys.)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BCD969" w14:textId="77777777" w:rsidR="00B62810" w:rsidRDefault="007A0F62">
            <w:pPr>
              <w:pStyle w:val="Body"/>
              <w:widowControl w:val="0"/>
              <w:jc w:val="center"/>
            </w:pPr>
            <w:r>
              <w:rPr>
                <w:rStyle w:val="Brak"/>
                <w:rFonts w:ascii="Cambria" w:hAnsi="Cambria"/>
                <w:sz w:val="22"/>
                <w:szCs w:val="22"/>
              </w:rPr>
              <w:t>12 450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ED64B1" w14:textId="77777777" w:rsidR="00B62810" w:rsidRDefault="007A0F62">
            <w:pPr>
              <w:pStyle w:val="Body"/>
              <w:widowControl w:val="0"/>
              <w:jc w:val="center"/>
            </w:pPr>
            <w:r>
              <w:rPr>
                <w:rStyle w:val="Brak"/>
                <w:rFonts w:ascii="Cambria" w:hAnsi="Cambria"/>
                <w:sz w:val="22"/>
                <w:szCs w:val="22"/>
              </w:rPr>
              <w:t>12 810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CA215" w14:textId="77777777" w:rsidR="00B62810" w:rsidRDefault="007A0F62">
            <w:pPr>
              <w:pStyle w:val="Body"/>
              <w:widowControl w:val="0"/>
              <w:jc w:val="center"/>
            </w:pPr>
            <w:r>
              <w:rPr>
                <w:rStyle w:val="Brak"/>
                <w:rFonts w:ascii="Cambria" w:hAnsi="Cambria"/>
                <w:sz w:val="22"/>
                <w:szCs w:val="22"/>
              </w:rPr>
              <w:t xml:space="preserve">360 </w:t>
            </w:r>
            <w:r>
              <w:rPr>
                <w:rStyle w:val="Brak"/>
                <w:rFonts w:ascii="Cambria" w:hAnsi="Cambria"/>
                <w:b/>
                <w:bCs/>
                <w:sz w:val="22"/>
                <w:szCs w:val="22"/>
              </w:rPr>
              <w:t>(+3%)</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22D9EB" w14:textId="77777777" w:rsidR="00B62810" w:rsidRDefault="007A0F62">
            <w:pPr>
              <w:pStyle w:val="Body"/>
              <w:widowControl w:val="0"/>
              <w:jc w:val="center"/>
            </w:pPr>
            <w:r>
              <w:rPr>
                <w:rStyle w:val="Brak"/>
                <w:rFonts w:ascii="Cambria" w:hAnsi="Cambria"/>
                <w:sz w:val="22"/>
                <w:szCs w:val="22"/>
              </w:rPr>
              <w:t xml:space="preserve">4 730 </w:t>
            </w:r>
            <w:r>
              <w:rPr>
                <w:rStyle w:val="Brak"/>
                <w:rFonts w:ascii="Cambria" w:hAnsi="Cambria"/>
                <w:b/>
                <w:bCs/>
                <w:sz w:val="22"/>
                <w:szCs w:val="22"/>
              </w:rPr>
              <w:t>(+58%)</w:t>
            </w:r>
          </w:p>
        </w:tc>
      </w:tr>
      <w:tr w:rsidR="00B62810" w14:paraId="144619CB" w14:textId="77777777">
        <w:trPr>
          <w:trHeight w:val="730"/>
        </w:trPr>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D5F70" w14:textId="77777777" w:rsidR="00B62810" w:rsidRPr="00511909" w:rsidRDefault="007A0F62">
            <w:pPr>
              <w:pStyle w:val="Body"/>
              <w:widowControl w:val="0"/>
              <w:rPr>
                <w:lang w:val="pl-PL"/>
              </w:rPr>
            </w:pPr>
            <w:r w:rsidRPr="00511909">
              <w:rPr>
                <w:rStyle w:val="Brak"/>
                <w:rFonts w:ascii="Cambria" w:hAnsi="Cambria"/>
                <w:sz w:val="22"/>
                <w:szCs w:val="22"/>
                <w:lang w:val="pl-PL"/>
              </w:rPr>
              <w:t>Liczba długich wyjazd</w:t>
            </w:r>
            <w:proofErr w:type="spellStart"/>
            <w:r>
              <w:rPr>
                <w:rStyle w:val="Brak"/>
                <w:rFonts w:ascii="Cambria" w:hAnsi="Cambria"/>
                <w:sz w:val="22"/>
                <w:szCs w:val="22"/>
                <w:lang w:val="es-ES_tradnl"/>
              </w:rPr>
              <w:t>ó</w:t>
            </w:r>
            <w:proofErr w:type="spellEnd"/>
            <w:r w:rsidRPr="00511909">
              <w:rPr>
                <w:rStyle w:val="Brak"/>
                <w:rFonts w:ascii="Cambria" w:hAnsi="Cambria"/>
                <w:sz w:val="22"/>
                <w:szCs w:val="22"/>
                <w:lang w:val="pl-PL"/>
              </w:rPr>
              <w:t xml:space="preserve">w </w:t>
            </w:r>
            <w:r w:rsidRPr="00511909">
              <w:rPr>
                <w:rStyle w:val="Brak"/>
                <w:rFonts w:ascii="Cambria" w:hAnsi="Cambria"/>
                <w:b/>
                <w:bCs/>
                <w:sz w:val="22"/>
                <w:szCs w:val="22"/>
                <w:lang w:val="pl-PL"/>
              </w:rPr>
              <w:t>krajowych</w:t>
            </w:r>
            <w:r w:rsidRPr="00511909">
              <w:rPr>
                <w:rStyle w:val="Brak"/>
                <w:rFonts w:ascii="Cambria" w:hAnsi="Cambria"/>
                <w:sz w:val="22"/>
                <w:szCs w:val="22"/>
                <w:lang w:val="pl-PL"/>
              </w:rPr>
              <w:t xml:space="preserve"> 1+ nocy w celach turystycznych (w tys.)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731C29" w14:textId="77777777" w:rsidR="00B62810" w:rsidRDefault="007A0F62">
            <w:pPr>
              <w:pStyle w:val="BodyA"/>
              <w:widowControl w:val="0"/>
              <w:jc w:val="center"/>
            </w:pPr>
            <w:r>
              <w:rPr>
                <w:rStyle w:val="Brak"/>
                <w:rFonts w:ascii="Cambria" w:hAnsi="Cambria"/>
                <w:sz w:val="22"/>
                <w:szCs w:val="22"/>
                <w:u w:color="000000"/>
              </w:rPr>
              <w:t>5 380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0C2DE1" w14:textId="77777777" w:rsidR="00B62810" w:rsidRDefault="007A0F62">
            <w:pPr>
              <w:pStyle w:val="Body"/>
              <w:widowControl w:val="0"/>
              <w:jc w:val="center"/>
            </w:pPr>
            <w:r>
              <w:rPr>
                <w:rStyle w:val="Brak"/>
                <w:rFonts w:ascii="Cambria" w:hAnsi="Cambria"/>
                <w:sz w:val="22"/>
                <w:szCs w:val="22"/>
              </w:rPr>
              <w:t>5 460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8FA89" w14:textId="77777777" w:rsidR="00B62810" w:rsidRDefault="007A0F62">
            <w:pPr>
              <w:pStyle w:val="Body"/>
              <w:widowControl w:val="0"/>
              <w:jc w:val="center"/>
            </w:pPr>
            <w:r>
              <w:rPr>
                <w:rStyle w:val="Brak"/>
              </w:rPr>
              <w:t>80</w:t>
            </w:r>
            <w:r>
              <w:rPr>
                <w:rStyle w:val="Brak"/>
                <w:rFonts w:ascii="Cambria" w:hAnsi="Cambria"/>
                <w:sz w:val="22"/>
                <w:szCs w:val="22"/>
              </w:rPr>
              <w:t xml:space="preserve"> </w:t>
            </w:r>
            <w:r>
              <w:rPr>
                <w:rStyle w:val="Brak"/>
                <w:rFonts w:ascii="Cambria" w:hAnsi="Cambria"/>
                <w:b/>
                <w:bCs/>
                <w:sz w:val="22"/>
                <w:szCs w:val="22"/>
              </w:rPr>
              <w:t>(+1%)</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C045E4" w14:textId="77777777" w:rsidR="00B62810" w:rsidRDefault="007A0F62">
            <w:pPr>
              <w:pStyle w:val="Body"/>
              <w:widowControl w:val="0"/>
              <w:jc w:val="center"/>
            </w:pPr>
            <w:r>
              <w:rPr>
                <w:rStyle w:val="Brak"/>
                <w:rFonts w:ascii="Cambria" w:hAnsi="Cambria"/>
                <w:sz w:val="22"/>
                <w:szCs w:val="22"/>
              </w:rPr>
              <w:t xml:space="preserve">2 460 </w:t>
            </w:r>
            <w:r>
              <w:rPr>
                <w:rStyle w:val="Brak"/>
                <w:rFonts w:ascii="Cambria" w:hAnsi="Cambria"/>
                <w:b/>
                <w:bCs/>
                <w:sz w:val="22"/>
                <w:szCs w:val="22"/>
              </w:rPr>
              <w:t>(+82%)</w:t>
            </w:r>
          </w:p>
        </w:tc>
      </w:tr>
      <w:tr w:rsidR="00B62810" w14:paraId="0F925E71" w14:textId="77777777">
        <w:trPr>
          <w:trHeight w:val="730"/>
        </w:trPr>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82BAE" w14:textId="77777777" w:rsidR="00B62810" w:rsidRPr="00511909" w:rsidRDefault="007A0F62">
            <w:pPr>
              <w:pStyle w:val="Body"/>
              <w:widowControl w:val="0"/>
              <w:rPr>
                <w:lang w:val="pl-PL"/>
              </w:rPr>
            </w:pPr>
            <w:r w:rsidRPr="00511909">
              <w:rPr>
                <w:rStyle w:val="Brak"/>
                <w:rFonts w:ascii="Cambria" w:hAnsi="Cambria"/>
                <w:sz w:val="22"/>
                <w:szCs w:val="22"/>
                <w:lang w:val="pl-PL"/>
              </w:rPr>
              <w:t>Liczba wyjazd</w:t>
            </w:r>
            <w:proofErr w:type="spellStart"/>
            <w:r>
              <w:rPr>
                <w:rStyle w:val="Brak"/>
                <w:rFonts w:ascii="Cambria" w:hAnsi="Cambria"/>
                <w:sz w:val="22"/>
                <w:szCs w:val="22"/>
                <w:lang w:val="es-ES_tradnl"/>
              </w:rPr>
              <w:t>ó</w:t>
            </w:r>
            <w:proofErr w:type="spellEnd"/>
            <w:r w:rsidRPr="00511909">
              <w:rPr>
                <w:rStyle w:val="Brak"/>
                <w:rFonts w:ascii="Cambria" w:hAnsi="Cambria"/>
                <w:sz w:val="22"/>
                <w:szCs w:val="22"/>
                <w:lang w:val="pl-PL"/>
              </w:rPr>
              <w:t xml:space="preserve">w </w:t>
            </w:r>
            <w:r w:rsidRPr="00511909">
              <w:rPr>
                <w:rStyle w:val="Brak"/>
                <w:rFonts w:ascii="Cambria" w:hAnsi="Cambria"/>
                <w:b/>
                <w:bCs/>
                <w:sz w:val="22"/>
                <w:szCs w:val="22"/>
                <w:lang w:val="pl-PL"/>
              </w:rPr>
              <w:t>krajowych</w:t>
            </w:r>
            <w:r w:rsidRPr="00511909">
              <w:rPr>
                <w:rStyle w:val="Brak"/>
                <w:rFonts w:ascii="Cambria" w:hAnsi="Cambria"/>
                <w:sz w:val="22"/>
                <w:szCs w:val="22"/>
                <w:lang w:val="pl-PL"/>
              </w:rPr>
              <w:t xml:space="preserve"> 1+ nocy w celach </w:t>
            </w:r>
            <w:r w:rsidRPr="00511909">
              <w:rPr>
                <w:rStyle w:val="Brak"/>
                <w:rFonts w:ascii="Cambria" w:hAnsi="Cambria"/>
                <w:b/>
                <w:bCs/>
                <w:sz w:val="22"/>
                <w:szCs w:val="22"/>
                <w:lang w:val="pl-PL"/>
              </w:rPr>
              <w:t>służbowych</w:t>
            </w:r>
            <w:r w:rsidRPr="00511909">
              <w:rPr>
                <w:rStyle w:val="Brak"/>
                <w:rFonts w:ascii="Cambria" w:hAnsi="Cambria"/>
                <w:sz w:val="22"/>
                <w:szCs w:val="22"/>
                <w:lang w:val="pl-PL"/>
              </w:rPr>
              <w:t xml:space="preserve"> (w tys.)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08F20" w14:textId="77777777" w:rsidR="00B62810" w:rsidRDefault="007A0F62">
            <w:pPr>
              <w:pStyle w:val="Body"/>
              <w:widowControl w:val="0"/>
              <w:jc w:val="center"/>
            </w:pPr>
            <w:r>
              <w:rPr>
                <w:rStyle w:val="Brak"/>
                <w:rFonts w:ascii="Cambria" w:hAnsi="Cambria"/>
                <w:sz w:val="22"/>
                <w:szCs w:val="22"/>
              </w:rPr>
              <w:t>3 950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F7B18" w14:textId="77777777" w:rsidR="00B62810" w:rsidRDefault="007A0F62">
            <w:pPr>
              <w:pStyle w:val="Body"/>
              <w:widowControl w:val="0"/>
              <w:jc w:val="center"/>
            </w:pPr>
            <w:r>
              <w:rPr>
                <w:rStyle w:val="Brak"/>
                <w:rFonts w:ascii="Cambria" w:hAnsi="Cambria"/>
                <w:sz w:val="22"/>
                <w:szCs w:val="22"/>
              </w:rPr>
              <w:t>4 420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21199" w14:textId="77777777" w:rsidR="00B62810" w:rsidRDefault="007A0F62">
            <w:pPr>
              <w:pStyle w:val="Body"/>
              <w:widowControl w:val="0"/>
              <w:jc w:val="center"/>
            </w:pPr>
            <w:r>
              <w:rPr>
                <w:rStyle w:val="Brak"/>
                <w:rFonts w:ascii="Cambria" w:hAnsi="Cambria"/>
                <w:sz w:val="22"/>
                <w:szCs w:val="22"/>
              </w:rPr>
              <w:t xml:space="preserve">470 </w:t>
            </w:r>
            <w:r>
              <w:rPr>
                <w:rStyle w:val="Brak"/>
                <w:rFonts w:ascii="Cambria" w:hAnsi="Cambria"/>
                <w:b/>
                <w:bCs/>
                <w:sz w:val="22"/>
                <w:szCs w:val="22"/>
              </w:rPr>
              <w:t>(+12%)</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9F82B" w14:textId="77777777" w:rsidR="00B62810" w:rsidRDefault="007A0F62">
            <w:pPr>
              <w:pStyle w:val="Body"/>
              <w:widowControl w:val="0"/>
              <w:jc w:val="center"/>
            </w:pPr>
            <w:r>
              <w:rPr>
                <w:rStyle w:val="Brak"/>
                <w:rFonts w:ascii="Cambria" w:hAnsi="Cambria"/>
                <w:sz w:val="22"/>
                <w:szCs w:val="22"/>
              </w:rPr>
              <w:t xml:space="preserve">800  </w:t>
            </w:r>
            <w:r>
              <w:rPr>
                <w:rStyle w:val="Brak"/>
                <w:rFonts w:ascii="Cambria" w:hAnsi="Cambria"/>
                <w:b/>
                <w:bCs/>
                <w:sz w:val="22"/>
                <w:szCs w:val="22"/>
              </w:rPr>
              <w:t>(+22%)</w:t>
            </w:r>
          </w:p>
        </w:tc>
      </w:tr>
      <w:tr w:rsidR="00B62810" w14:paraId="2666F4D4" w14:textId="77777777">
        <w:trPr>
          <w:trHeight w:val="730"/>
        </w:trPr>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DE033" w14:textId="77777777" w:rsidR="00B62810" w:rsidRPr="00511909" w:rsidRDefault="007A0F62">
            <w:pPr>
              <w:pStyle w:val="Body"/>
              <w:widowControl w:val="0"/>
              <w:rPr>
                <w:lang w:val="pl-PL"/>
              </w:rPr>
            </w:pPr>
            <w:r w:rsidRPr="00511909">
              <w:rPr>
                <w:rStyle w:val="Brak"/>
                <w:rFonts w:ascii="Cambria" w:hAnsi="Cambria"/>
                <w:sz w:val="22"/>
                <w:szCs w:val="22"/>
                <w:lang w:val="pl-PL"/>
              </w:rPr>
              <w:t>Liczba wyjazd</w:t>
            </w:r>
            <w:proofErr w:type="spellStart"/>
            <w:r>
              <w:rPr>
                <w:rStyle w:val="Brak"/>
                <w:rFonts w:ascii="Cambria" w:hAnsi="Cambria"/>
                <w:sz w:val="22"/>
                <w:szCs w:val="22"/>
                <w:lang w:val="es-ES_tradnl"/>
              </w:rPr>
              <w:t>ó</w:t>
            </w:r>
            <w:proofErr w:type="spellEnd"/>
            <w:r w:rsidRPr="00511909">
              <w:rPr>
                <w:rStyle w:val="Brak"/>
                <w:rFonts w:ascii="Cambria" w:hAnsi="Cambria"/>
                <w:sz w:val="22"/>
                <w:szCs w:val="22"/>
                <w:lang w:val="pl-PL"/>
              </w:rPr>
              <w:t xml:space="preserve">w </w:t>
            </w:r>
            <w:r w:rsidRPr="00511909">
              <w:rPr>
                <w:rStyle w:val="Brak"/>
                <w:rFonts w:ascii="Cambria" w:hAnsi="Cambria"/>
                <w:b/>
                <w:bCs/>
                <w:sz w:val="22"/>
                <w:szCs w:val="22"/>
                <w:lang w:val="pl-PL"/>
              </w:rPr>
              <w:t>zagranicznych</w:t>
            </w:r>
            <w:r w:rsidRPr="00511909">
              <w:rPr>
                <w:rStyle w:val="Brak"/>
                <w:rFonts w:ascii="Cambria" w:hAnsi="Cambria"/>
                <w:sz w:val="22"/>
                <w:szCs w:val="22"/>
                <w:lang w:val="pl-PL"/>
              </w:rPr>
              <w:t xml:space="preserve"> z co najmniej 1 noclegiem (w tys.)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CF0BD9" w14:textId="77777777" w:rsidR="00B62810" w:rsidRDefault="007A0F62">
            <w:pPr>
              <w:pStyle w:val="Body"/>
              <w:widowControl w:val="0"/>
              <w:jc w:val="center"/>
            </w:pPr>
            <w:r>
              <w:rPr>
                <w:rStyle w:val="Brak"/>
                <w:rFonts w:ascii="Cambria" w:hAnsi="Cambria"/>
                <w:sz w:val="22"/>
                <w:szCs w:val="22"/>
              </w:rPr>
              <w:t>7 040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065F79" w14:textId="77777777" w:rsidR="00B62810" w:rsidRDefault="007A0F62">
            <w:pPr>
              <w:pStyle w:val="Body"/>
              <w:widowControl w:val="0"/>
              <w:jc w:val="center"/>
            </w:pPr>
            <w:r>
              <w:rPr>
                <w:rStyle w:val="Brak"/>
                <w:rFonts w:ascii="Cambria" w:hAnsi="Cambria"/>
                <w:sz w:val="22"/>
                <w:szCs w:val="22"/>
              </w:rPr>
              <w:t>7 630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895E0E" w14:textId="77777777" w:rsidR="00B62810" w:rsidRDefault="007A0F62">
            <w:pPr>
              <w:pStyle w:val="Body"/>
              <w:widowControl w:val="0"/>
              <w:jc w:val="center"/>
            </w:pPr>
            <w:r>
              <w:rPr>
                <w:rStyle w:val="Brak"/>
                <w:rFonts w:ascii="Cambria" w:hAnsi="Cambria"/>
                <w:sz w:val="22"/>
                <w:szCs w:val="22"/>
              </w:rPr>
              <w:t xml:space="preserve">590 </w:t>
            </w:r>
            <w:r>
              <w:rPr>
                <w:rStyle w:val="Brak"/>
                <w:rFonts w:ascii="Cambria" w:hAnsi="Cambria"/>
                <w:b/>
                <w:bCs/>
                <w:sz w:val="22"/>
                <w:szCs w:val="22"/>
              </w:rPr>
              <w:t>(+8%)</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EA024C" w14:textId="77777777" w:rsidR="00B62810" w:rsidRDefault="007A0F62">
            <w:pPr>
              <w:pStyle w:val="Body"/>
              <w:widowControl w:val="0"/>
              <w:jc w:val="center"/>
            </w:pPr>
            <w:r>
              <w:rPr>
                <w:rStyle w:val="Brak"/>
              </w:rPr>
              <w:t xml:space="preserve">-1 260 </w:t>
            </w:r>
            <w:r>
              <w:rPr>
                <w:rStyle w:val="Brak"/>
                <w:rFonts w:ascii="Cambria" w:hAnsi="Cambria"/>
                <w:sz w:val="22"/>
                <w:szCs w:val="22"/>
              </w:rPr>
              <w:t xml:space="preserve"> </w:t>
            </w:r>
            <w:r>
              <w:rPr>
                <w:rStyle w:val="Brak"/>
                <w:rFonts w:ascii="Cambria" w:hAnsi="Cambria"/>
                <w:b/>
                <w:bCs/>
                <w:sz w:val="22"/>
                <w:szCs w:val="22"/>
              </w:rPr>
              <w:t>(-14%)</w:t>
            </w:r>
          </w:p>
        </w:tc>
      </w:tr>
      <w:tr w:rsidR="00B62810" w14:paraId="73D75D24" w14:textId="77777777">
        <w:trPr>
          <w:trHeight w:val="730"/>
        </w:trPr>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B2CF9" w14:textId="77777777" w:rsidR="00B62810" w:rsidRPr="00511909" w:rsidRDefault="007A0F62">
            <w:pPr>
              <w:pStyle w:val="Body"/>
              <w:widowControl w:val="0"/>
              <w:rPr>
                <w:lang w:val="pl-PL"/>
              </w:rPr>
            </w:pPr>
            <w:r w:rsidRPr="00511909">
              <w:rPr>
                <w:rStyle w:val="Brak"/>
                <w:rFonts w:ascii="Cambria" w:hAnsi="Cambria"/>
                <w:sz w:val="22"/>
                <w:szCs w:val="22"/>
                <w:lang w:val="pl-PL"/>
              </w:rPr>
              <w:t>Liczba kr</w:t>
            </w:r>
            <w:proofErr w:type="spellStart"/>
            <w:r>
              <w:rPr>
                <w:rStyle w:val="Brak"/>
                <w:rFonts w:ascii="Cambria" w:hAnsi="Cambria"/>
                <w:sz w:val="22"/>
                <w:szCs w:val="22"/>
                <w:lang w:val="es-ES_tradnl"/>
              </w:rPr>
              <w:t>ó</w:t>
            </w:r>
            <w:r w:rsidRPr="00511909">
              <w:rPr>
                <w:rStyle w:val="Brak"/>
                <w:rFonts w:ascii="Cambria" w:hAnsi="Cambria"/>
                <w:sz w:val="22"/>
                <w:szCs w:val="22"/>
                <w:lang w:val="pl-PL"/>
              </w:rPr>
              <w:t>tkich</w:t>
            </w:r>
            <w:proofErr w:type="spellEnd"/>
            <w:r w:rsidRPr="00511909">
              <w:rPr>
                <w:rStyle w:val="Brak"/>
                <w:rFonts w:ascii="Cambria" w:hAnsi="Cambria"/>
                <w:sz w:val="22"/>
                <w:szCs w:val="22"/>
                <w:lang w:val="pl-PL"/>
              </w:rPr>
              <w:t xml:space="preserve"> wyjazd</w:t>
            </w:r>
            <w:proofErr w:type="spellStart"/>
            <w:r>
              <w:rPr>
                <w:rStyle w:val="Brak"/>
                <w:rFonts w:ascii="Cambria" w:hAnsi="Cambria"/>
                <w:sz w:val="22"/>
                <w:szCs w:val="22"/>
                <w:lang w:val="es-ES_tradnl"/>
              </w:rPr>
              <w:t>ó</w:t>
            </w:r>
            <w:proofErr w:type="spellEnd"/>
            <w:r w:rsidRPr="00511909">
              <w:rPr>
                <w:rStyle w:val="Brak"/>
                <w:rFonts w:ascii="Cambria" w:hAnsi="Cambria"/>
                <w:sz w:val="22"/>
                <w:szCs w:val="22"/>
                <w:lang w:val="pl-PL"/>
              </w:rPr>
              <w:t xml:space="preserve">w </w:t>
            </w:r>
            <w:r w:rsidRPr="00511909">
              <w:rPr>
                <w:rStyle w:val="Brak"/>
                <w:rFonts w:ascii="Cambria" w:hAnsi="Cambria"/>
                <w:b/>
                <w:bCs/>
                <w:sz w:val="22"/>
                <w:szCs w:val="22"/>
                <w:lang w:val="pl-PL"/>
              </w:rPr>
              <w:t>zagranicznych</w:t>
            </w:r>
            <w:r w:rsidRPr="00511909">
              <w:rPr>
                <w:rStyle w:val="Brak"/>
                <w:rFonts w:ascii="Cambria" w:hAnsi="Cambria"/>
                <w:sz w:val="22"/>
                <w:szCs w:val="22"/>
                <w:lang w:val="pl-PL"/>
              </w:rPr>
              <w:t xml:space="preserve"> 1+ nocy w celach </w:t>
            </w:r>
            <w:r w:rsidRPr="00511909">
              <w:rPr>
                <w:rStyle w:val="Brak"/>
                <w:rFonts w:ascii="Cambria" w:hAnsi="Cambria"/>
                <w:b/>
                <w:bCs/>
                <w:sz w:val="22"/>
                <w:szCs w:val="22"/>
                <w:lang w:val="pl-PL"/>
              </w:rPr>
              <w:t>turystycznych</w:t>
            </w:r>
            <w:r w:rsidRPr="00511909">
              <w:rPr>
                <w:rStyle w:val="Brak"/>
                <w:rFonts w:ascii="Cambria" w:hAnsi="Cambria"/>
                <w:sz w:val="22"/>
                <w:szCs w:val="22"/>
                <w:lang w:val="pl-PL"/>
              </w:rPr>
              <w:t xml:space="preserve"> (w tys.)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8942FE" w14:textId="77777777" w:rsidR="00B62810" w:rsidRDefault="007A0F62">
            <w:pPr>
              <w:pStyle w:val="Body"/>
              <w:widowControl w:val="0"/>
              <w:jc w:val="center"/>
            </w:pPr>
            <w:r>
              <w:rPr>
                <w:rStyle w:val="Brak"/>
                <w:rFonts w:ascii="Cambria" w:hAnsi="Cambria"/>
                <w:sz w:val="22"/>
                <w:szCs w:val="22"/>
                <w:lang w:val="ru-RU"/>
              </w:rPr>
              <w:t>1 880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BF1BF" w14:textId="77777777" w:rsidR="00B62810" w:rsidRDefault="007A0F62">
            <w:pPr>
              <w:pStyle w:val="Body"/>
              <w:widowControl w:val="0"/>
              <w:jc w:val="center"/>
            </w:pPr>
            <w:r>
              <w:rPr>
                <w:rStyle w:val="Brak"/>
                <w:rFonts w:ascii="Cambria" w:hAnsi="Cambria"/>
                <w:sz w:val="22"/>
                <w:szCs w:val="22"/>
              </w:rPr>
              <w:t>1 890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D626AB" w14:textId="77777777" w:rsidR="00B62810" w:rsidRDefault="007A0F62">
            <w:pPr>
              <w:pStyle w:val="Body"/>
              <w:widowControl w:val="0"/>
              <w:jc w:val="center"/>
            </w:pPr>
            <w:r>
              <w:rPr>
                <w:rStyle w:val="Brak"/>
              </w:rPr>
              <w:t>1</w:t>
            </w:r>
            <w:r>
              <w:rPr>
                <w:rStyle w:val="Brak"/>
                <w:rFonts w:ascii="Cambria" w:hAnsi="Cambria"/>
                <w:sz w:val="22"/>
                <w:szCs w:val="22"/>
              </w:rPr>
              <w:t xml:space="preserve">0 </w:t>
            </w:r>
            <w:r>
              <w:rPr>
                <w:rStyle w:val="Brak"/>
                <w:rFonts w:ascii="Cambria" w:hAnsi="Cambria"/>
                <w:b/>
                <w:bCs/>
                <w:sz w:val="22"/>
                <w:szCs w:val="22"/>
              </w:rPr>
              <w:t>(+0,5%)</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658BF" w14:textId="77777777" w:rsidR="00B62810" w:rsidRDefault="007A0F62">
            <w:pPr>
              <w:pStyle w:val="Body"/>
              <w:widowControl w:val="0"/>
              <w:jc w:val="center"/>
            </w:pPr>
            <w:r>
              <w:rPr>
                <w:rStyle w:val="Brak"/>
                <w:rFonts w:ascii="Cambria" w:hAnsi="Cambria"/>
                <w:sz w:val="22"/>
                <w:szCs w:val="22"/>
              </w:rPr>
              <w:t xml:space="preserve">-690 </w:t>
            </w:r>
            <w:r>
              <w:rPr>
                <w:rStyle w:val="Brak"/>
                <w:rFonts w:ascii="Cambria" w:hAnsi="Cambria"/>
                <w:b/>
                <w:bCs/>
                <w:sz w:val="22"/>
                <w:szCs w:val="22"/>
              </w:rPr>
              <w:t>(-27%)</w:t>
            </w:r>
          </w:p>
        </w:tc>
      </w:tr>
      <w:tr w:rsidR="00B62810" w14:paraId="49F8FB10" w14:textId="77777777">
        <w:trPr>
          <w:trHeight w:val="730"/>
        </w:trPr>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D3267" w14:textId="77777777" w:rsidR="00B62810" w:rsidRPr="00511909" w:rsidRDefault="007A0F62">
            <w:pPr>
              <w:pStyle w:val="Body"/>
              <w:widowControl w:val="0"/>
              <w:rPr>
                <w:lang w:val="pl-PL"/>
              </w:rPr>
            </w:pPr>
            <w:r w:rsidRPr="00511909">
              <w:rPr>
                <w:rStyle w:val="Brak"/>
                <w:rFonts w:ascii="Cambria" w:hAnsi="Cambria"/>
                <w:sz w:val="22"/>
                <w:szCs w:val="22"/>
                <w:lang w:val="pl-PL"/>
              </w:rPr>
              <w:t>Liczba długich wyjazd</w:t>
            </w:r>
            <w:proofErr w:type="spellStart"/>
            <w:r>
              <w:rPr>
                <w:rStyle w:val="Brak"/>
                <w:rFonts w:ascii="Cambria" w:hAnsi="Cambria"/>
                <w:sz w:val="22"/>
                <w:szCs w:val="22"/>
                <w:lang w:val="es-ES_tradnl"/>
              </w:rPr>
              <w:t>ó</w:t>
            </w:r>
            <w:proofErr w:type="spellEnd"/>
            <w:r w:rsidRPr="00511909">
              <w:rPr>
                <w:rStyle w:val="Brak"/>
                <w:rFonts w:ascii="Cambria" w:hAnsi="Cambria"/>
                <w:sz w:val="22"/>
                <w:szCs w:val="22"/>
                <w:lang w:val="pl-PL"/>
              </w:rPr>
              <w:t xml:space="preserve">w </w:t>
            </w:r>
            <w:r w:rsidRPr="00511909">
              <w:rPr>
                <w:rStyle w:val="Brak"/>
                <w:rFonts w:ascii="Cambria" w:hAnsi="Cambria"/>
                <w:b/>
                <w:bCs/>
                <w:sz w:val="22"/>
                <w:szCs w:val="22"/>
                <w:lang w:val="pl-PL"/>
              </w:rPr>
              <w:t>zagranicznych</w:t>
            </w:r>
            <w:r w:rsidRPr="00511909">
              <w:rPr>
                <w:rStyle w:val="Brak"/>
                <w:rFonts w:ascii="Cambria" w:hAnsi="Cambria"/>
                <w:sz w:val="22"/>
                <w:szCs w:val="22"/>
                <w:lang w:val="pl-PL"/>
              </w:rPr>
              <w:t xml:space="preserve"> 1+ nocy w celach turystycznych (w tys.)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236ADE" w14:textId="77777777" w:rsidR="00B62810" w:rsidRDefault="007A0F62">
            <w:pPr>
              <w:pStyle w:val="Tre"/>
              <w:widowControl w:val="0"/>
              <w:jc w:val="center"/>
            </w:pPr>
            <w:r>
              <w:rPr>
                <w:rStyle w:val="Brak"/>
                <w:sz w:val="22"/>
                <w:szCs w:val="22"/>
                <w:u w:color="000000"/>
                <w14:textOutline w14:w="12700" w14:cap="flat" w14:cmpd="sng" w14:algn="ctr">
                  <w14:noFill/>
                  <w14:prstDash w14:val="solid"/>
                  <w14:miter w14:lim="400000"/>
                </w14:textOutline>
              </w:rPr>
              <w:t>4 050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C78B23" w14:textId="77777777" w:rsidR="00B62810" w:rsidRDefault="007A0F62">
            <w:pPr>
              <w:pStyle w:val="Tre"/>
              <w:widowControl w:val="0"/>
              <w:jc w:val="center"/>
            </w:pPr>
            <w:r>
              <w:rPr>
                <w:rStyle w:val="Brak"/>
                <w:sz w:val="22"/>
                <w:szCs w:val="22"/>
                <w:u w:color="000000"/>
                <w14:textOutline w14:w="12700" w14:cap="flat" w14:cmpd="sng" w14:algn="ctr">
                  <w14:noFill/>
                  <w14:prstDash w14:val="solid"/>
                  <w14:miter w14:lim="400000"/>
                </w14:textOutline>
              </w:rPr>
              <w:t>4 620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171F2" w14:textId="77777777" w:rsidR="00B62810" w:rsidRDefault="007A0F62">
            <w:pPr>
              <w:pStyle w:val="Body"/>
              <w:widowControl w:val="0"/>
              <w:jc w:val="center"/>
            </w:pPr>
            <w:r>
              <w:rPr>
                <w:rStyle w:val="Brak"/>
                <w:rFonts w:ascii="Cambria" w:hAnsi="Cambria"/>
                <w:sz w:val="22"/>
                <w:szCs w:val="22"/>
                <w:lang w:val="ru-RU"/>
              </w:rPr>
              <w:t xml:space="preserve">570 </w:t>
            </w:r>
            <w:r>
              <w:rPr>
                <w:rStyle w:val="Brak"/>
                <w:rFonts w:ascii="Cambria" w:hAnsi="Cambria"/>
                <w:b/>
                <w:bCs/>
                <w:sz w:val="22"/>
                <w:szCs w:val="22"/>
              </w:rPr>
              <w:t>(+14%)</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D0C2D" w14:textId="77777777" w:rsidR="00B62810" w:rsidRDefault="007A0F62">
            <w:pPr>
              <w:pStyle w:val="Body"/>
              <w:widowControl w:val="0"/>
              <w:jc w:val="center"/>
            </w:pPr>
            <w:r>
              <w:rPr>
                <w:rStyle w:val="Brak"/>
                <w:rFonts w:ascii="Cambria" w:hAnsi="Cambria"/>
                <w:sz w:val="22"/>
                <w:szCs w:val="22"/>
              </w:rPr>
              <w:t xml:space="preserve">-210 </w:t>
            </w:r>
            <w:r>
              <w:rPr>
                <w:rStyle w:val="Brak"/>
                <w:rFonts w:ascii="Cambria" w:hAnsi="Cambria"/>
                <w:b/>
                <w:bCs/>
                <w:sz w:val="22"/>
                <w:szCs w:val="22"/>
              </w:rPr>
              <w:t>(-4%)</w:t>
            </w:r>
          </w:p>
        </w:tc>
      </w:tr>
      <w:tr w:rsidR="00B62810" w14:paraId="0D31DC51" w14:textId="77777777">
        <w:trPr>
          <w:trHeight w:val="970"/>
        </w:trPr>
        <w:tc>
          <w:tcPr>
            <w:tcW w:w="3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47A43" w14:textId="77777777" w:rsidR="00B62810" w:rsidRPr="00511909" w:rsidRDefault="007A0F62">
            <w:pPr>
              <w:pStyle w:val="Body"/>
              <w:widowControl w:val="0"/>
              <w:rPr>
                <w:lang w:val="pl-PL"/>
              </w:rPr>
            </w:pPr>
            <w:r w:rsidRPr="00511909">
              <w:rPr>
                <w:rStyle w:val="Brak"/>
                <w:rFonts w:ascii="Cambria" w:hAnsi="Cambria"/>
                <w:sz w:val="22"/>
                <w:szCs w:val="22"/>
                <w:lang w:val="pl-PL"/>
              </w:rPr>
              <w:lastRenderedPageBreak/>
              <w:t>Liczba wyjazd</w:t>
            </w:r>
            <w:proofErr w:type="spellStart"/>
            <w:r>
              <w:rPr>
                <w:rStyle w:val="Brak"/>
                <w:rFonts w:ascii="Cambria" w:hAnsi="Cambria"/>
                <w:sz w:val="22"/>
                <w:szCs w:val="22"/>
                <w:lang w:val="es-ES_tradnl"/>
              </w:rPr>
              <w:t>ó</w:t>
            </w:r>
            <w:proofErr w:type="spellEnd"/>
            <w:r w:rsidRPr="00511909">
              <w:rPr>
                <w:rStyle w:val="Brak"/>
                <w:rFonts w:ascii="Cambria" w:hAnsi="Cambria"/>
                <w:sz w:val="22"/>
                <w:szCs w:val="22"/>
                <w:lang w:val="pl-PL"/>
              </w:rPr>
              <w:t xml:space="preserve">w </w:t>
            </w:r>
            <w:r w:rsidRPr="00511909">
              <w:rPr>
                <w:rStyle w:val="Brak"/>
                <w:rFonts w:ascii="Cambria" w:hAnsi="Cambria"/>
                <w:b/>
                <w:bCs/>
                <w:sz w:val="22"/>
                <w:szCs w:val="22"/>
                <w:lang w:val="pl-PL"/>
              </w:rPr>
              <w:t>zagranicznych</w:t>
            </w:r>
            <w:r w:rsidRPr="00511909">
              <w:rPr>
                <w:rStyle w:val="Brak"/>
                <w:rFonts w:ascii="Cambria" w:hAnsi="Cambria"/>
                <w:sz w:val="22"/>
                <w:szCs w:val="22"/>
                <w:lang w:val="pl-PL"/>
              </w:rPr>
              <w:t xml:space="preserve"> 1+ nocy w celach służbowych / </w:t>
            </w:r>
            <w:r w:rsidRPr="00511909">
              <w:rPr>
                <w:rStyle w:val="Brak"/>
                <w:rFonts w:ascii="Cambria" w:hAnsi="Cambria"/>
                <w:b/>
                <w:bCs/>
                <w:sz w:val="22"/>
                <w:szCs w:val="22"/>
                <w:lang w:val="pl-PL"/>
              </w:rPr>
              <w:t>biznesowych</w:t>
            </w:r>
            <w:r w:rsidRPr="00511909">
              <w:rPr>
                <w:rStyle w:val="Brak"/>
                <w:rFonts w:ascii="Cambria" w:hAnsi="Cambria"/>
                <w:sz w:val="22"/>
                <w:szCs w:val="22"/>
                <w:lang w:val="pl-PL"/>
              </w:rPr>
              <w:t xml:space="preserve"> (w tys.)</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935A4B" w14:textId="77777777" w:rsidR="00B62810" w:rsidRDefault="007A0F62">
            <w:pPr>
              <w:pStyle w:val="Body"/>
              <w:widowControl w:val="0"/>
              <w:jc w:val="center"/>
            </w:pPr>
            <w:r>
              <w:rPr>
                <w:rStyle w:val="Brak"/>
                <w:rFonts w:ascii="Cambria" w:hAnsi="Cambria"/>
                <w:sz w:val="22"/>
                <w:szCs w:val="22"/>
              </w:rPr>
              <w:t>1 110</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BD620" w14:textId="77777777" w:rsidR="00B62810" w:rsidRDefault="007A0F62">
            <w:pPr>
              <w:pStyle w:val="Body"/>
              <w:widowControl w:val="0"/>
              <w:jc w:val="center"/>
            </w:pPr>
            <w:r>
              <w:rPr>
                <w:rStyle w:val="Brak"/>
                <w:rFonts w:ascii="Cambria" w:hAnsi="Cambria"/>
                <w:sz w:val="22"/>
                <w:szCs w:val="22"/>
              </w:rPr>
              <w:t>1 120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524C2A" w14:textId="77777777" w:rsidR="00B62810" w:rsidRDefault="007A0F62">
            <w:pPr>
              <w:pStyle w:val="Body"/>
              <w:widowControl w:val="0"/>
              <w:jc w:val="center"/>
            </w:pPr>
            <w:r>
              <w:rPr>
                <w:rStyle w:val="Brak"/>
                <w:rFonts w:ascii="Cambria" w:hAnsi="Cambria"/>
                <w:sz w:val="22"/>
                <w:szCs w:val="22"/>
              </w:rPr>
              <w:t xml:space="preserve">10 </w:t>
            </w:r>
            <w:r>
              <w:rPr>
                <w:rStyle w:val="Brak"/>
                <w:rFonts w:ascii="Cambria" w:hAnsi="Cambria"/>
                <w:b/>
                <w:bCs/>
                <w:sz w:val="22"/>
                <w:szCs w:val="22"/>
              </w:rPr>
              <w:t>(+1%)</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0A620" w14:textId="77777777" w:rsidR="00B62810" w:rsidRDefault="007A0F62">
            <w:pPr>
              <w:pStyle w:val="Body"/>
              <w:widowControl w:val="0"/>
              <w:jc w:val="center"/>
            </w:pPr>
            <w:r>
              <w:rPr>
                <w:rStyle w:val="Brak"/>
                <w:rFonts w:ascii="Cambria" w:hAnsi="Cambria"/>
                <w:sz w:val="22"/>
                <w:szCs w:val="22"/>
              </w:rPr>
              <w:t xml:space="preserve">-360 </w:t>
            </w:r>
            <w:r>
              <w:rPr>
                <w:rStyle w:val="Brak"/>
                <w:rFonts w:ascii="Cambria" w:hAnsi="Cambria"/>
                <w:b/>
                <w:bCs/>
                <w:sz w:val="22"/>
                <w:szCs w:val="22"/>
              </w:rPr>
              <w:t>(-24%)</w:t>
            </w:r>
          </w:p>
        </w:tc>
      </w:tr>
    </w:tbl>
    <w:p w14:paraId="4CDDCCDE" w14:textId="77777777" w:rsidR="00B62810" w:rsidRDefault="00B62810">
      <w:pPr>
        <w:pStyle w:val="WordDefaultStyleA"/>
        <w:widowControl w:val="0"/>
        <w:ind w:left="324" w:hanging="324"/>
        <w:jc w:val="left"/>
      </w:pPr>
    </w:p>
    <w:p w14:paraId="74093863" w14:textId="77777777" w:rsidR="00B62810" w:rsidRDefault="00B62810">
      <w:pPr>
        <w:pStyle w:val="WordDefaultStyleA"/>
        <w:widowControl w:val="0"/>
        <w:ind w:left="216" w:hanging="216"/>
        <w:jc w:val="left"/>
        <w:rPr>
          <w:rStyle w:val="BrakA"/>
          <w:sz w:val="22"/>
          <w:szCs w:val="22"/>
        </w:rPr>
      </w:pPr>
    </w:p>
    <w:p w14:paraId="20C522B5" w14:textId="77777777" w:rsidR="00B62810" w:rsidRDefault="00B62810">
      <w:pPr>
        <w:pStyle w:val="WordDefaultStyleA"/>
        <w:widowControl w:val="0"/>
        <w:ind w:left="108" w:hanging="108"/>
        <w:jc w:val="left"/>
        <w:rPr>
          <w:rStyle w:val="BrakA"/>
          <w:sz w:val="22"/>
          <w:szCs w:val="22"/>
        </w:rPr>
      </w:pPr>
    </w:p>
    <w:p w14:paraId="45D12D3B" w14:textId="77777777" w:rsidR="00B62810" w:rsidRDefault="007A0F62" w:rsidP="00511909">
      <w:pPr>
        <w:pStyle w:val="WordDefaultStyleA"/>
      </w:pPr>
      <w:r>
        <w:rPr>
          <w:rStyle w:val="BrakA"/>
        </w:rPr>
        <w:t xml:space="preserve">Powyższe dane statystyczne są dowodem na odradzający się ruch turystyczny w Norwegii. W porównaniu z 2019 rokiem czyli przedpandemicznym najlepszym okresem w światowej turystyce wzrosła liczba wszystkich wyjazdów Norwegów poza miejsce zamieszkania choć jak widzimy przełożyło się to głownie na turystykę krajową. Wyjazdy zagraniczne, pomimo że ich liczba wzrosła od poprzedniego roku to nadal, szczególnie w zakresie wyjazdów weekendowych i biznesowych nie wróciły do poziomu sprzed pandemii. </w:t>
      </w:r>
    </w:p>
    <w:p w14:paraId="04C1021C" w14:textId="77777777" w:rsidR="00B62810" w:rsidRDefault="00B62810" w:rsidP="00511909">
      <w:pPr>
        <w:pStyle w:val="WordDefaultStyleA"/>
        <w:rPr>
          <w:rStyle w:val="BrakA"/>
        </w:rPr>
      </w:pPr>
    </w:p>
    <w:p w14:paraId="7B7A9F32" w14:textId="77777777" w:rsidR="00B62810" w:rsidRDefault="007A0F62" w:rsidP="00511909">
      <w:pPr>
        <w:pStyle w:val="WordDefaultStyleA"/>
      </w:pPr>
      <w:r>
        <w:rPr>
          <w:rStyle w:val="Brak"/>
          <w:b/>
          <w:bCs/>
        </w:rPr>
        <w:t>2.3 DANIA – dane statystyczne dotyczące ruchu turystycznego.</w:t>
      </w:r>
    </w:p>
    <w:p w14:paraId="2A3A35C1" w14:textId="77777777" w:rsidR="00B62810" w:rsidRDefault="007A0F62" w:rsidP="00511909">
      <w:pPr>
        <w:pStyle w:val="WordDefaultStyleA"/>
      </w:pPr>
      <w:r>
        <w:rPr>
          <w:rStyle w:val="BrakA"/>
        </w:rPr>
        <w:t>StatBank Denmark (</w:t>
      </w:r>
      <w:r w:rsidR="00BA4E70">
        <w:fldChar w:fldCharType="begin"/>
      </w:r>
      <w:r w:rsidR="00BA4E70">
        <w:instrText>HYPERLINK "http://www.statbank.dk/"</w:instrText>
      </w:r>
      <w:r w:rsidR="00BA4E70">
        <w:fldChar w:fldCharType="separate"/>
      </w:r>
      <w:r>
        <w:rPr>
          <w:rStyle w:val="Hyperlink8"/>
        </w:rPr>
        <w:t>www.statbank.dk</w:t>
      </w:r>
      <w:r w:rsidR="00BA4E70">
        <w:rPr>
          <w:rStyle w:val="Hyperlink8"/>
        </w:rPr>
        <w:fldChar w:fldCharType="end"/>
      </w:r>
      <w:r>
        <w:rPr>
          <w:rStyle w:val="BrakA"/>
        </w:rPr>
        <w:t xml:space="preserve">) prowadzi badania związane z rozwojem wyjazdowego ruchu mieszkańców kraju, lecz wszystkie dane dotyczą obecnie 2022 roku. </w:t>
      </w:r>
    </w:p>
    <w:p w14:paraId="162CF8DE" w14:textId="77777777" w:rsidR="00B62810" w:rsidRDefault="00B62810" w:rsidP="00511909">
      <w:pPr>
        <w:pStyle w:val="WordDefaultStyleA"/>
        <w:rPr>
          <w:rStyle w:val="BrakA"/>
          <w:sz w:val="22"/>
          <w:szCs w:val="22"/>
        </w:rPr>
      </w:pPr>
    </w:p>
    <w:p w14:paraId="565428A0" w14:textId="77777777" w:rsidR="00B62810" w:rsidRDefault="007A0F62" w:rsidP="00511909">
      <w:pPr>
        <w:pStyle w:val="WordDefaultStyleA"/>
      </w:pPr>
      <w:r>
        <w:rPr>
          <w:rStyle w:val="Brak"/>
          <w:b/>
          <w:bCs/>
        </w:rPr>
        <w:t>2.4 FINLANDIA – dane statystyczne dotyczące ruchu turystycznego.</w:t>
      </w:r>
    </w:p>
    <w:p w14:paraId="75A76301" w14:textId="77777777" w:rsidR="00B62810" w:rsidRDefault="007A0F62" w:rsidP="00511909">
      <w:pPr>
        <w:pStyle w:val="WordDefaultStyleA"/>
      </w:pPr>
      <w:r>
        <w:rPr>
          <w:rStyle w:val="BrakA"/>
        </w:rPr>
        <w:t xml:space="preserve">W Finlandii dane statystyczne opracowuje zwykle Fiński Urząd Statystyczny (Tilastokeskus, </w:t>
      </w:r>
      <w:r w:rsidR="00BA4E70">
        <w:fldChar w:fldCharType="begin"/>
      </w:r>
      <w:r w:rsidR="00BA4E70">
        <w:instrText>HYPERLINK "http://www.stat.fi/"</w:instrText>
      </w:r>
      <w:r w:rsidR="00BA4E70">
        <w:fldChar w:fldCharType="separate"/>
      </w:r>
      <w:r>
        <w:rPr>
          <w:rStyle w:val="Hyperlink9"/>
        </w:rPr>
        <w:t>www.stat.fi</w:t>
      </w:r>
      <w:r w:rsidR="00BA4E70">
        <w:rPr>
          <w:rStyle w:val="Hyperlink9"/>
        </w:rPr>
        <w:fldChar w:fldCharType="end"/>
      </w:r>
      <w:r>
        <w:rPr>
          <w:rStyle w:val="BrakA"/>
        </w:rPr>
        <w:t xml:space="preserve">). Od 2019 roku wprowadzono nową metodologię opracowania informacji o ruchu turystycznym i dostępne są następujące dane: </w:t>
      </w:r>
    </w:p>
    <w:p w14:paraId="318E183F" w14:textId="77777777" w:rsidR="00B62810" w:rsidRDefault="00B62810">
      <w:pPr>
        <w:pStyle w:val="WordDefaultStyleA"/>
        <w:jc w:val="left"/>
        <w:rPr>
          <w:rStyle w:val="BrakA"/>
        </w:rPr>
      </w:pPr>
    </w:p>
    <w:tbl>
      <w:tblPr>
        <w:tblStyle w:val="TableNormal"/>
        <w:tblW w:w="89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1"/>
        <w:gridCol w:w="1312"/>
        <w:gridCol w:w="1234"/>
        <w:gridCol w:w="1333"/>
        <w:gridCol w:w="1257"/>
        <w:gridCol w:w="1203"/>
      </w:tblGrid>
      <w:tr w:rsidR="00B62810" w14:paraId="792BB409" w14:textId="77777777">
        <w:trPr>
          <w:trHeight w:val="607"/>
        </w:trPr>
        <w:tc>
          <w:tcPr>
            <w:tcW w:w="2581" w:type="dxa"/>
            <w:tcBorders>
              <w:top w:val="single" w:sz="4" w:space="0" w:color="A7A7A7"/>
              <w:left w:val="single" w:sz="4" w:space="0" w:color="A7A7A7"/>
              <w:bottom w:val="single" w:sz="8" w:space="0" w:color="A7A7A7"/>
              <w:right w:val="single" w:sz="4" w:space="0" w:color="A7A7A7"/>
            </w:tcBorders>
            <w:shd w:val="clear" w:color="auto" w:fill="BDD6EE"/>
            <w:tcMar>
              <w:top w:w="80" w:type="dxa"/>
              <w:left w:w="80" w:type="dxa"/>
              <w:bottom w:w="80" w:type="dxa"/>
              <w:right w:w="80" w:type="dxa"/>
            </w:tcMar>
          </w:tcPr>
          <w:p w14:paraId="3344FE88" w14:textId="77777777" w:rsidR="00B62810" w:rsidRDefault="007A0F62">
            <w:pPr>
              <w:pStyle w:val="TreA"/>
            </w:pPr>
            <w:r>
              <w:rPr>
                <w:rStyle w:val="Brak"/>
                <w:b/>
                <w:bCs/>
              </w:rPr>
              <w:t>Liczba podróży (w tys.)</w:t>
            </w:r>
          </w:p>
        </w:tc>
        <w:tc>
          <w:tcPr>
            <w:tcW w:w="1312" w:type="dxa"/>
            <w:tcBorders>
              <w:top w:val="single" w:sz="4" w:space="0" w:color="A7A7A7"/>
              <w:left w:val="single" w:sz="4" w:space="0" w:color="A7A7A7"/>
              <w:bottom w:val="single" w:sz="8" w:space="0" w:color="A7A7A7"/>
              <w:right w:val="single" w:sz="4" w:space="0" w:color="A7A7A7"/>
            </w:tcBorders>
            <w:shd w:val="clear" w:color="auto" w:fill="BDD6EE"/>
            <w:tcMar>
              <w:top w:w="80" w:type="dxa"/>
              <w:left w:w="80" w:type="dxa"/>
              <w:bottom w:w="80" w:type="dxa"/>
              <w:right w:w="80" w:type="dxa"/>
            </w:tcMar>
          </w:tcPr>
          <w:p w14:paraId="78E5727B" w14:textId="77777777" w:rsidR="00B62810" w:rsidRDefault="007A0F62">
            <w:pPr>
              <w:pStyle w:val="Body"/>
              <w:widowControl w:val="0"/>
              <w:jc w:val="center"/>
            </w:pPr>
            <w:r>
              <w:rPr>
                <w:rStyle w:val="Brak"/>
                <w:rFonts w:ascii="Cambria" w:hAnsi="Cambria"/>
                <w:b/>
                <w:bCs/>
                <w:sz w:val="22"/>
                <w:szCs w:val="22"/>
              </w:rPr>
              <w:t>2019</w:t>
            </w:r>
          </w:p>
        </w:tc>
        <w:tc>
          <w:tcPr>
            <w:tcW w:w="1234" w:type="dxa"/>
            <w:tcBorders>
              <w:top w:val="single" w:sz="4" w:space="0" w:color="A7A7A7"/>
              <w:left w:val="single" w:sz="4" w:space="0" w:color="A7A7A7"/>
              <w:bottom w:val="single" w:sz="8" w:space="0" w:color="A7A7A7"/>
              <w:right w:val="single" w:sz="4" w:space="0" w:color="A7A7A7"/>
            </w:tcBorders>
            <w:shd w:val="clear" w:color="auto" w:fill="BDD6EE"/>
            <w:tcMar>
              <w:top w:w="80" w:type="dxa"/>
              <w:left w:w="80" w:type="dxa"/>
              <w:bottom w:w="80" w:type="dxa"/>
              <w:right w:w="80" w:type="dxa"/>
            </w:tcMar>
          </w:tcPr>
          <w:p w14:paraId="1565D90A" w14:textId="77777777" w:rsidR="00B62810" w:rsidRDefault="007A0F62">
            <w:pPr>
              <w:pStyle w:val="Body"/>
              <w:widowControl w:val="0"/>
              <w:jc w:val="center"/>
            </w:pPr>
            <w:r>
              <w:rPr>
                <w:rStyle w:val="Brak"/>
                <w:rFonts w:ascii="Cambria" w:hAnsi="Cambria"/>
                <w:b/>
                <w:bCs/>
                <w:sz w:val="22"/>
                <w:szCs w:val="22"/>
              </w:rPr>
              <w:t>2020</w:t>
            </w:r>
          </w:p>
        </w:tc>
        <w:tc>
          <w:tcPr>
            <w:tcW w:w="1333" w:type="dxa"/>
            <w:tcBorders>
              <w:top w:val="single" w:sz="4" w:space="0" w:color="A7A7A7"/>
              <w:left w:val="single" w:sz="4" w:space="0" w:color="A7A7A7"/>
              <w:bottom w:val="single" w:sz="8" w:space="0" w:color="A7A7A7"/>
              <w:right w:val="single" w:sz="4" w:space="0" w:color="A7A7A7"/>
            </w:tcBorders>
            <w:shd w:val="clear" w:color="auto" w:fill="BDD6EE"/>
            <w:tcMar>
              <w:top w:w="80" w:type="dxa"/>
              <w:left w:w="80" w:type="dxa"/>
              <w:bottom w:w="80" w:type="dxa"/>
              <w:right w:w="80" w:type="dxa"/>
            </w:tcMar>
          </w:tcPr>
          <w:p w14:paraId="7F440DF3" w14:textId="77777777" w:rsidR="00B62810" w:rsidRDefault="007A0F62">
            <w:pPr>
              <w:pStyle w:val="Tre"/>
              <w:widowControl w:val="0"/>
              <w:jc w:val="center"/>
              <w:outlineLvl w:val="0"/>
            </w:pPr>
            <w:r>
              <w:rPr>
                <w:rStyle w:val="Brak"/>
                <w:rFonts w:ascii="Cambria" w:hAnsi="Cambria"/>
                <w:b/>
                <w:bCs/>
                <w:sz w:val="22"/>
                <w:szCs w:val="22"/>
                <w:u w:color="000000"/>
                <w:lang w:val="en-US"/>
                <w14:textOutline w14:w="12700" w14:cap="flat" w14:cmpd="sng" w14:algn="ctr">
                  <w14:noFill/>
                  <w14:prstDash w14:val="solid"/>
                  <w14:miter w14:lim="400000"/>
                </w14:textOutline>
              </w:rPr>
              <w:t>2021</w:t>
            </w:r>
          </w:p>
        </w:tc>
        <w:tc>
          <w:tcPr>
            <w:tcW w:w="1257" w:type="dxa"/>
            <w:tcBorders>
              <w:top w:val="single" w:sz="4" w:space="0" w:color="A7A7A7"/>
              <w:left w:val="single" w:sz="4" w:space="0" w:color="A7A7A7"/>
              <w:bottom w:val="single" w:sz="8" w:space="0" w:color="A7A7A7"/>
              <w:right w:val="single" w:sz="4" w:space="0" w:color="A7A7A7"/>
            </w:tcBorders>
            <w:shd w:val="clear" w:color="auto" w:fill="BDD6EE"/>
            <w:tcMar>
              <w:top w:w="80" w:type="dxa"/>
              <w:left w:w="80" w:type="dxa"/>
              <w:bottom w:w="80" w:type="dxa"/>
              <w:right w:w="80" w:type="dxa"/>
            </w:tcMar>
          </w:tcPr>
          <w:p w14:paraId="70D821C1" w14:textId="77777777" w:rsidR="00B62810" w:rsidRDefault="007A0F62">
            <w:pPr>
              <w:pStyle w:val="Body"/>
              <w:widowControl w:val="0"/>
              <w:jc w:val="center"/>
            </w:pPr>
            <w:r>
              <w:rPr>
                <w:rStyle w:val="Brak"/>
                <w:rFonts w:ascii="Cambria" w:hAnsi="Cambria"/>
                <w:b/>
                <w:bCs/>
                <w:sz w:val="22"/>
                <w:szCs w:val="22"/>
              </w:rPr>
              <w:t>2022</w:t>
            </w:r>
          </w:p>
        </w:tc>
        <w:tc>
          <w:tcPr>
            <w:tcW w:w="1203" w:type="dxa"/>
            <w:tcBorders>
              <w:top w:val="single" w:sz="4" w:space="0" w:color="A7A7A7"/>
              <w:left w:val="single" w:sz="4" w:space="0" w:color="A7A7A7"/>
              <w:bottom w:val="single" w:sz="8" w:space="0" w:color="A7A7A7"/>
              <w:right w:val="single" w:sz="4" w:space="0" w:color="A7A7A7"/>
            </w:tcBorders>
            <w:shd w:val="clear" w:color="auto" w:fill="BDD6EE"/>
            <w:tcMar>
              <w:top w:w="80" w:type="dxa"/>
              <w:left w:w="80" w:type="dxa"/>
              <w:bottom w:w="80" w:type="dxa"/>
              <w:right w:w="80" w:type="dxa"/>
            </w:tcMar>
          </w:tcPr>
          <w:p w14:paraId="2E93DA55" w14:textId="77777777" w:rsidR="00B62810" w:rsidRDefault="007A0F62">
            <w:pPr>
              <w:pStyle w:val="Tre"/>
              <w:widowControl w:val="0"/>
              <w:jc w:val="center"/>
            </w:pPr>
            <w:r>
              <w:rPr>
                <w:rStyle w:val="Brak"/>
                <w:b/>
                <w:bCs/>
                <w:sz w:val="22"/>
                <w:szCs w:val="22"/>
                <w:u w:color="000000"/>
                <w14:textOutline w14:w="12700" w14:cap="flat" w14:cmpd="sng" w14:algn="ctr">
                  <w14:noFill/>
                  <w14:prstDash w14:val="solid"/>
                  <w14:miter w14:lim="400000"/>
                </w14:textOutline>
              </w:rPr>
              <w:t>2023</w:t>
            </w:r>
          </w:p>
        </w:tc>
      </w:tr>
      <w:tr w:rsidR="00B62810" w14:paraId="455E8389" w14:textId="77777777">
        <w:trPr>
          <w:trHeight w:val="53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1CA6B036" w14:textId="77777777" w:rsidR="00B62810" w:rsidRDefault="007A0F62">
            <w:pPr>
              <w:pStyle w:val="Body"/>
              <w:widowControl w:val="0"/>
            </w:pPr>
            <w:proofErr w:type="spellStart"/>
            <w:r>
              <w:rPr>
                <w:rStyle w:val="Brak"/>
                <w:rFonts w:ascii="Cambria" w:hAnsi="Cambria"/>
                <w:sz w:val="22"/>
                <w:szCs w:val="22"/>
              </w:rPr>
              <w:t>Wszystkie</w:t>
            </w:r>
            <w:proofErr w:type="spellEnd"/>
            <w:r>
              <w:rPr>
                <w:rStyle w:val="Brak"/>
                <w:rFonts w:ascii="Cambria" w:hAnsi="Cambria"/>
                <w:sz w:val="22"/>
                <w:szCs w:val="22"/>
              </w:rPr>
              <w:t xml:space="preserve"> </w:t>
            </w:r>
            <w:proofErr w:type="spellStart"/>
            <w:r>
              <w:rPr>
                <w:rStyle w:val="Brak"/>
                <w:rFonts w:ascii="Cambria" w:hAnsi="Cambria"/>
                <w:sz w:val="22"/>
                <w:szCs w:val="22"/>
              </w:rPr>
              <w:t>podróże</w:t>
            </w:r>
            <w:proofErr w:type="spellEnd"/>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41C2D3AB"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38 720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6A3F2EF8"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25 670</w:t>
            </w:r>
          </w:p>
        </w:tc>
        <w:tc>
          <w:tcPr>
            <w:tcW w:w="133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14F9D6DC"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31 180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4FB46593"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33 290</w:t>
            </w:r>
          </w:p>
        </w:tc>
        <w:tc>
          <w:tcPr>
            <w:tcW w:w="120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56A9A652"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31 230</w:t>
            </w:r>
          </w:p>
        </w:tc>
      </w:tr>
      <w:tr w:rsidR="00B62810" w14:paraId="5CE29F3C" w14:textId="77777777">
        <w:trPr>
          <w:trHeight w:val="77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55E90040" w14:textId="77777777" w:rsidR="00B62810" w:rsidRDefault="007A0F62">
            <w:pPr>
              <w:pStyle w:val="Body"/>
              <w:widowControl w:val="0"/>
            </w:pPr>
            <w:proofErr w:type="spellStart"/>
            <w:r>
              <w:rPr>
                <w:rStyle w:val="Brak"/>
                <w:rFonts w:ascii="Cambria" w:hAnsi="Cambria"/>
                <w:sz w:val="22"/>
                <w:szCs w:val="22"/>
              </w:rPr>
              <w:t>Podróże</w:t>
            </w:r>
            <w:proofErr w:type="spellEnd"/>
            <w:r>
              <w:rPr>
                <w:rStyle w:val="Brak"/>
                <w:rFonts w:ascii="Cambria" w:hAnsi="Cambria"/>
                <w:sz w:val="22"/>
                <w:szCs w:val="22"/>
              </w:rPr>
              <w:t xml:space="preserve"> </w:t>
            </w:r>
            <w:proofErr w:type="spellStart"/>
            <w:r>
              <w:rPr>
                <w:rStyle w:val="Brak"/>
                <w:rFonts w:ascii="Cambria" w:hAnsi="Cambria"/>
                <w:sz w:val="22"/>
                <w:szCs w:val="22"/>
              </w:rPr>
              <w:t>turystyczne</w:t>
            </w:r>
            <w:proofErr w:type="spellEnd"/>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66BB7D27"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33 080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41BD1C35"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23 </w:t>
            </w:r>
            <w:r>
              <w:rPr>
                <w:rStyle w:val="Brak"/>
                <w:rFonts w:ascii="Cambria" w:hAnsi="Cambria"/>
                <w:color w:val="333333"/>
                <w:sz w:val="22"/>
                <w:szCs w:val="22"/>
                <w:shd w:val="clear" w:color="auto" w:fill="FFFFFF"/>
                <w:lang w:val="ru-RU"/>
                <w14:textOutline w14:w="12700" w14:cap="flat" w14:cmpd="sng" w14:algn="ctr">
                  <w14:noFill/>
                  <w14:prstDash w14:val="solid"/>
                  <w14:miter w14:lim="400000"/>
                </w14:textOutline>
              </w:rPr>
              <w:t>340</w:t>
            </w:r>
          </w:p>
        </w:tc>
        <w:tc>
          <w:tcPr>
            <w:tcW w:w="133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EEFEB55"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29 250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2523D9B2"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29 750</w:t>
            </w:r>
          </w:p>
        </w:tc>
        <w:tc>
          <w:tcPr>
            <w:tcW w:w="120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6B6355E2"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27 420</w:t>
            </w:r>
          </w:p>
        </w:tc>
      </w:tr>
      <w:tr w:rsidR="00B62810" w14:paraId="20B7247B" w14:textId="77777777">
        <w:trPr>
          <w:trHeight w:val="77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7D039C6E" w14:textId="77777777" w:rsidR="00B62810" w:rsidRDefault="007A0F62">
            <w:pPr>
              <w:pStyle w:val="Body"/>
              <w:widowControl w:val="0"/>
            </w:pPr>
            <w:proofErr w:type="spellStart"/>
            <w:r>
              <w:rPr>
                <w:rStyle w:val="Brak"/>
                <w:rFonts w:ascii="Cambria" w:hAnsi="Cambria"/>
                <w:sz w:val="22"/>
                <w:szCs w:val="22"/>
              </w:rPr>
              <w:t>Podróże</w:t>
            </w:r>
            <w:proofErr w:type="spellEnd"/>
            <w:r>
              <w:rPr>
                <w:rStyle w:val="Brak"/>
                <w:rFonts w:ascii="Cambria" w:hAnsi="Cambria"/>
                <w:sz w:val="22"/>
                <w:szCs w:val="22"/>
              </w:rPr>
              <w:t xml:space="preserve"> </w:t>
            </w:r>
            <w:proofErr w:type="spellStart"/>
            <w:r>
              <w:rPr>
                <w:rStyle w:val="Brak"/>
                <w:rFonts w:ascii="Cambria" w:hAnsi="Cambria"/>
                <w:sz w:val="22"/>
                <w:szCs w:val="22"/>
              </w:rPr>
              <w:t>biznesowe</w:t>
            </w:r>
            <w:proofErr w:type="spellEnd"/>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E952DC9"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5 640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C0A3B62"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2 330</w:t>
            </w:r>
          </w:p>
        </w:tc>
        <w:tc>
          <w:tcPr>
            <w:tcW w:w="133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7F94DD63"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1 930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CFE276A"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3 540</w:t>
            </w:r>
          </w:p>
        </w:tc>
        <w:tc>
          <w:tcPr>
            <w:tcW w:w="120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D3AB825"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3 </w:t>
            </w:r>
            <w:r>
              <w:rPr>
                <w:rStyle w:val="Brak"/>
                <w:rFonts w:ascii="Cambria" w:hAnsi="Cambria"/>
                <w:color w:val="333333"/>
                <w:sz w:val="22"/>
                <w:szCs w:val="22"/>
                <w:shd w:val="clear" w:color="auto" w:fill="FFFFFF"/>
                <w:lang w:val="en-US"/>
                <w14:textOutline w14:w="12700" w14:cap="flat" w14:cmpd="sng" w14:algn="ctr">
                  <w14:noFill/>
                  <w14:prstDash w14:val="solid"/>
                  <w14:miter w14:lim="400000"/>
                </w14:textOutline>
              </w:rPr>
              <w:t>810</w:t>
            </w:r>
          </w:p>
        </w:tc>
      </w:tr>
      <w:tr w:rsidR="00B62810" w14:paraId="339CD6C4" w14:textId="77777777">
        <w:trPr>
          <w:trHeight w:val="77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2CFF4FA3" w14:textId="77777777" w:rsidR="00B62810" w:rsidRDefault="007A0F62">
            <w:pPr>
              <w:pStyle w:val="Body"/>
              <w:widowControl w:val="0"/>
            </w:pPr>
            <w:proofErr w:type="spellStart"/>
            <w:r>
              <w:rPr>
                <w:rStyle w:val="Brak"/>
                <w:sz w:val="22"/>
                <w:szCs w:val="22"/>
              </w:rPr>
              <w:t>Wszystkie</w:t>
            </w:r>
            <w:proofErr w:type="spellEnd"/>
            <w:r>
              <w:rPr>
                <w:rStyle w:val="Brak"/>
                <w:sz w:val="22"/>
                <w:szCs w:val="22"/>
              </w:rPr>
              <w:t xml:space="preserve"> </w:t>
            </w:r>
            <w:proofErr w:type="spellStart"/>
            <w:r>
              <w:rPr>
                <w:rStyle w:val="Brak"/>
                <w:sz w:val="22"/>
                <w:szCs w:val="22"/>
              </w:rPr>
              <w:t>p</w:t>
            </w:r>
            <w:r>
              <w:rPr>
                <w:rStyle w:val="Brak"/>
                <w:rFonts w:ascii="Cambria" w:hAnsi="Cambria"/>
                <w:sz w:val="22"/>
                <w:szCs w:val="22"/>
              </w:rPr>
              <w:t>odróże</w:t>
            </w:r>
            <w:proofErr w:type="spellEnd"/>
            <w:r>
              <w:rPr>
                <w:rStyle w:val="Brak"/>
                <w:rFonts w:ascii="Cambria" w:hAnsi="Cambria"/>
                <w:sz w:val="22"/>
                <w:szCs w:val="22"/>
              </w:rPr>
              <w:t xml:space="preserve"> </w:t>
            </w:r>
            <w:proofErr w:type="spellStart"/>
            <w:r>
              <w:rPr>
                <w:rStyle w:val="Brak"/>
                <w:rFonts w:ascii="Cambria" w:hAnsi="Cambria"/>
                <w:sz w:val="22"/>
                <w:szCs w:val="22"/>
              </w:rPr>
              <w:t>krajowe</w:t>
            </w:r>
            <w:proofErr w:type="spellEnd"/>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599EE898"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29 320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404DFAE4"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23 </w:t>
            </w:r>
            <w:r>
              <w:rPr>
                <w:rStyle w:val="Brak"/>
                <w:rFonts w:ascii="Cambria" w:hAnsi="Cambria"/>
                <w:color w:val="333333"/>
                <w:sz w:val="22"/>
                <w:szCs w:val="22"/>
                <w:shd w:val="clear" w:color="auto" w:fill="FFFFFF"/>
                <w:lang w:val="ru-RU"/>
                <w14:textOutline w14:w="12700" w14:cap="flat" w14:cmpd="sng" w14:algn="ctr">
                  <w14:noFill/>
                  <w14:prstDash w14:val="solid"/>
                  <w14:miter w14:lim="400000"/>
                </w14:textOutline>
              </w:rPr>
              <w:t>340</w:t>
            </w:r>
          </w:p>
        </w:tc>
        <w:tc>
          <w:tcPr>
            <w:tcW w:w="133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A9ED758"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29 380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AB80EA2"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27 100</w:t>
            </w:r>
          </w:p>
        </w:tc>
        <w:tc>
          <w:tcPr>
            <w:tcW w:w="120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52161127"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23 960</w:t>
            </w:r>
          </w:p>
        </w:tc>
      </w:tr>
      <w:tr w:rsidR="00B62810" w14:paraId="10E3C908" w14:textId="77777777">
        <w:trPr>
          <w:trHeight w:val="77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22E7EFA0" w14:textId="77777777" w:rsidR="00B62810" w:rsidRDefault="007A0F62">
            <w:pPr>
              <w:pStyle w:val="Tre"/>
              <w:widowControl w:val="0"/>
            </w:pPr>
            <w:r>
              <w:rPr>
                <w:rStyle w:val="Brak"/>
                <w:sz w:val="22"/>
                <w:szCs w:val="22"/>
                <w:u w:color="000000"/>
                <w14:textOutline w14:w="12700" w14:cap="flat" w14:cmpd="sng" w14:algn="ctr">
                  <w14:noFill/>
                  <w14:prstDash w14:val="solid"/>
                  <w14:miter w14:lim="400000"/>
                </w14:textOutline>
              </w:rPr>
              <w:t>Podróże krajowe turystyczne z opłaconym zakwaterowaniem</w:t>
            </w:r>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36E09F79"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7 300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6252B055"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5 450</w:t>
            </w:r>
          </w:p>
        </w:tc>
        <w:tc>
          <w:tcPr>
            <w:tcW w:w="133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1943A2BE"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6 790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52C72226"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7 000</w:t>
            </w:r>
          </w:p>
        </w:tc>
        <w:tc>
          <w:tcPr>
            <w:tcW w:w="1203"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3C75DE73"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6 540</w:t>
            </w:r>
          </w:p>
        </w:tc>
      </w:tr>
      <w:tr w:rsidR="00B62810" w14:paraId="79071062" w14:textId="77777777">
        <w:trPr>
          <w:trHeight w:val="77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0DA3F6ED" w14:textId="77777777" w:rsidR="00B62810" w:rsidRPr="00511909" w:rsidRDefault="007A0F62">
            <w:pPr>
              <w:pStyle w:val="Body"/>
              <w:widowControl w:val="0"/>
              <w:rPr>
                <w:lang w:val="pl-PL"/>
              </w:rPr>
            </w:pPr>
            <w:r w:rsidRPr="00511909">
              <w:rPr>
                <w:rStyle w:val="Brak"/>
                <w:rFonts w:ascii="Cambria" w:hAnsi="Cambria"/>
                <w:sz w:val="22"/>
                <w:szCs w:val="22"/>
                <w:lang w:val="pl-PL"/>
              </w:rPr>
              <w:t>Podróże krajowe turystyczne z bezpłatnym zakwaterowaniem</w:t>
            </w:r>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66448C5B"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18 430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6EC969FB"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15 930</w:t>
            </w:r>
          </w:p>
        </w:tc>
        <w:tc>
          <w:tcPr>
            <w:tcW w:w="133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3FF3A3BE"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20 930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0DD76AF"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17 550</w:t>
            </w:r>
          </w:p>
        </w:tc>
        <w:tc>
          <w:tcPr>
            <w:tcW w:w="120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4B1ED610"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14 780</w:t>
            </w:r>
          </w:p>
        </w:tc>
      </w:tr>
      <w:tr w:rsidR="00B62810" w14:paraId="27657E6C" w14:textId="77777777">
        <w:trPr>
          <w:trHeight w:val="77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1F0C6C7A" w14:textId="77777777" w:rsidR="00B62810" w:rsidRDefault="007A0F62">
            <w:pPr>
              <w:pStyle w:val="Body"/>
              <w:widowControl w:val="0"/>
            </w:pPr>
            <w:proofErr w:type="spellStart"/>
            <w:r>
              <w:rPr>
                <w:rStyle w:val="Brak"/>
                <w:rFonts w:ascii="Cambria" w:hAnsi="Cambria"/>
                <w:sz w:val="22"/>
                <w:szCs w:val="22"/>
              </w:rPr>
              <w:lastRenderedPageBreak/>
              <w:t>Podróże</w:t>
            </w:r>
            <w:proofErr w:type="spellEnd"/>
            <w:r>
              <w:rPr>
                <w:rStyle w:val="Brak"/>
                <w:rFonts w:ascii="Cambria" w:hAnsi="Cambria"/>
                <w:sz w:val="22"/>
                <w:szCs w:val="22"/>
              </w:rPr>
              <w:t xml:space="preserve"> </w:t>
            </w:r>
            <w:proofErr w:type="spellStart"/>
            <w:r>
              <w:rPr>
                <w:rStyle w:val="Brak"/>
                <w:rFonts w:ascii="Cambria" w:hAnsi="Cambria"/>
                <w:sz w:val="22"/>
                <w:szCs w:val="22"/>
              </w:rPr>
              <w:t>krajowe</w:t>
            </w:r>
            <w:proofErr w:type="spellEnd"/>
            <w:r>
              <w:rPr>
                <w:rStyle w:val="Brak"/>
                <w:rFonts w:ascii="Cambria" w:hAnsi="Cambria"/>
                <w:sz w:val="22"/>
                <w:szCs w:val="22"/>
              </w:rPr>
              <w:t xml:space="preserve"> </w:t>
            </w:r>
            <w:proofErr w:type="spellStart"/>
            <w:r>
              <w:rPr>
                <w:rStyle w:val="Brak"/>
                <w:rFonts w:ascii="Cambria" w:hAnsi="Cambria"/>
                <w:sz w:val="22"/>
                <w:szCs w:val="22"/>
              </w:rPr>
              <w:t>biznesowe</w:t>
            </w:r>
            <w:proofErr w:type="spellEnd"/>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3AAA34F3"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3 590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2EBE23B2"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1 960</w:t>
            </w:r>
          </w:p>
        </w:tc>
        <w:tc>
          <w:tcPr>
            <w:tcW w:w="133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4F6C4033"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1 650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6E7CAE2"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2 550</w:t>
            </w:r>
          </w:p>
        </w:tc>
        <w:tc>
          <w:tcPr>
            <w:tcW w:w="120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55EF83A"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2 630</w:t>
            </w:r>
          </w:p>
        </w:tc>
      </w:tr>
      <w:tr w:rsidR="00B62810" w14:paraId="5708FEA3" w14:textId="77777777">
        <w:trPr>
          <w:trHeight w:val="77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7BAFB54B" w14:textId="77777777" w:rsidR="00B62810" w:rsidRDefault="007A0F62">
            <w:pPr>
              <w:pStyle w:val="Tre"/>
              <w:widowControl w:val="0"/>
            </w:pPr>
            <w:r>
              <w:rPr>
                <w:rStyle w:val="Brak"/>
                <w:sz w:val="22"/>
                <w:szCs w:val="22"/>
                <w:u w:color="000000"/>
                <w14:textOutline w14:w="12700" w14:cap="flat" w14:cmpd="sng" w14:algn="ctr">
                  <w14:noFill/>
                  <w14:prstDash w14:val="solid"/>
                  <w14:miter w14:lim="400000"/>
                </w14:textOutline>
              </w:rPr>
              <w:t xml:space="preserve">Wszystkie </w:t>
            </w:r>
            <w:proofErr w:type="spellStart"/>
            <w:r>
              <w:rPr>
                <w:rStyle w:val="Brak"/>
                <w:sz w:val="22"/>
                <w:szCs w:val="22"/>
                <w:u w:color="000000"/>
                <w14:textOutline w14:w="12700" w14:cap="flat" w14:cmpd="sng" w14:algn="ctr">
                  <w14:noFill/>
                  <w14:prstDash w14:val="solid"/>
                  <w14:miter w14:lim="400000"/>
                </w14:textOutline>
              </w:rPr>
              <w:t>podr</w:t>
            </w:r>
            <w:r>
              <w:rPr>
                <w:rStyle w:val="Brak"/>
                <w:sz w:val="22"/>
                <w:szCs w:val="22"/>
                <w:u w:color="000000"/>
                <w:lang w:val="es-ES_tradnl"/>
                <w14:textOutline w14:w="12700" w14:cap="flat" w14:cmpd="sng" w14:algn="ctr">
                  <w14:noFill/>
                  <w14:prstDash w14:val="solid"/>
                  <w14:miter w14:lim="400000"/>
                </w14:textOutline>
              </w:rPr>
              <w:t>ó</w:t>
            </w:r>
            <w:proofErr w:type="spellEnd"/>
            <w:r>
              <w:rPr>
                <w:rStyle w:val="Brak"/>
                <w:sz w:val="22"/>
                <w:szCs w:val="22"/>
                <w:u w:color="000000"/>
                <w14:textOutline w14:w="12700" w14:cap="flat" w14:cmpd="sng" w14:algn="ctr">
                  <w14:noFill/>
                  <w14:prstDash w14:val="solid"/>
                  <w14:miter w14:lim="400000"/>
                </w14:textOutline>
              </w:rPr>
              <w:t>ze zagraniczne</w:t>
            </w:r>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1ECB0A11"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9 400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6E4DDF8D"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2 330</w:t>
            </w:r>
          </w:p>
        </w:tc>
        <w:tc>
          <w:tcPr>
            <w:tcW w:w="133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3C8618F6"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1 800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7F786F34"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6 180</w:t>
            </w:r>
          </w:p>
        </w:tc>
        <w:tc>
          <w:tcPr>
            <w:tcW w:w="1203"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4A4F15ED"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7 280</w:t>
            </w:r>
          </w:p>
        </w:tc>
      </w:tr>
      <w:tr w:rsidR="00B62810" w14:paraId="001A7368" w14:textId="77777777">
        <w:trPr>
          <w:trHeight w:val="77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0F1D8F61" w14:textId="77777777" w:rsidR="00B62810" w:rsidRDefault="007A0F62">
            <w:pPr>
              <w:pStyle w:val="Tre"/>
              <w:widowControl w:val="0"/>
            </w:pPr>
            <w:r>
              <w:rPr>
                <w:rStyle w:val="Brak"/>
                <w:sz w:val="22"/>
                <w:szCs w:val="22"/>
                <w:u w:color="000000"/>
                <w14:textOutline w14:w="12700" w14:cap="flat" w14:cmpd="sng" w14:algn="ctr">
                  <w14:noFill/>
                  <w14:prstDash w14:val="solid"/>
                  <w14:miter w14:lim="400000"/>
                </w14:textOutline>
              </w:rPr>
              <w:t>Podróże zagraniczne turystyczne z zakwaterowaniem</w:t>
            </w:r>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7C123FBF"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6 260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6324757A"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1 660</w:t>
            </w:r>
          </w:p>
        </w:tc>
        <w:tc>
          <w:tcPr>
            <w:tcW w:w="133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8BBA32A"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1 280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216F2D92"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4 600</w:t>
            </w:r>
          </w:p>
        </w:tc>
        <w:tc>
          <w:tcPr>
            <w:tcW w:w="120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4133ED11"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5 500</w:t>
            </w:r>
          </w:p>
        </w:tc>
      </w:tr>
      <w:tr w:rsidR="00B62810" w14:paraId="0F5C0D22" w14:textId="77777777">
        <w:trPr>
          <w:trHeight w:val="77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11CA022C" w14:textId="77777777" w:rsidR="00B62810" w:rsidRDefault="007A0F62">
            <w:pPr>
              <w:pStyle w:val="Tre"/>
              <w:widowControl w:val="0"/>
            </w:pPr>
            <w:r>
              <w:rPr>
                <w:rStyle w:val="Brak"/>
                <w:sz w:val="22"/>
                <w:szCs w:val="22"/>
                <w:u w:color="000000"/>
                <w14:textOutline w14:w="12700" w14:cap="flat" w14:cmpd="sng" w14:algn="ctr">
                  <w14:noFill/>
                  <w14:prstDash w14:val="solid"/>
                  <w14:miter w14:lim="400000"/>
                </w14:textOutline>
              </w:rPr>
              <w:t>Podróże zagraniczne biznesowe z zakwaterowaniem</w:t>
            </w:r>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DC21DF7"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1 950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6B04559D"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360</w:t>
            </w:r>
          </w:p>
        </w:tc>
        <w:tc>
          <w:tcPr>
            <w:tcW w:w="133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205565F9"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270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0735C9C4"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950</w:t>
            </w:r>
          </w:p>
        </w:tc>
        <w:tc>
          <w:tcPr>
            <w:tcW w:w="1203"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358A228B"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1 120</w:t>
            </w:r>
          </w:p>
        </w:tc>
      </w:tr>
      <w:tr w:rsidR="00B62810" w14:paraId="37FAA18A" w14:textId="77777777">
        <w:trPr>
          <w:trHeight w:val="770"/>
        </w:trPr>
        <w:tc>
          <w:tcPr>
            <w:tcW w:w="2581"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597094A3" w14:textId="77777777" w:rsidR="00B62810" w:rsidRDefault="007A0F62">
            <w:pPr>
              <w:pStyle w:val="Tre"/>
              <w:widowControl w:val="0"/>
            </w:pPr>
            <w:r>
              <w:rPr>
                <w:rStyle w:val="Brak"/>
                <w:sz w:val="22"/>
                <w:szCs w:val="22"/>
                <w:u w:color="000000"/>
                <w14:textOutline w14:w="12700" w14:cap="flat" w14:cmpd="sng" w14:algn="ctr">
                  <w14:noFill/>
                  <w14:prstDash w14:val="solid"/>
                  <w14:miter w14:lim="400000"/>
                </w14:textOutline>
              </w:rPr>
              <w:t>Rejsy turystyczne z zakwaterowaniem na statku</w:t>
            </w:r>
          </w:p>
        </w:tc>
        <w:tc>
          <w:tcPr>
            <w:tcW w:w="1312"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4F030F66"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1 100</w:t>
            </w:r>
          </w:p>
        </w:tc>
        <w:tc>
          <w:tcPr>
            <w:tcW w:w="1234"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4372A242"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300</w:t>
            </w:r>
          </w:p>
        </w:tc>
        <w:tc>
          <w:tcPr>
            <w:tcW w:w="1333" w:type="dxa"/>
            <w:tcBorders>
              <w:top w:val="single" w:sz="8" w:space="0" w:color="A7A7A7"/>
              <w:left w:val="single" w:sz="8" w:space="0" w:color="A7A7A7"/>
              <w:bottom w:val="single" w:sz="8" w:space="0" w:color="A7A7A7"/>
              <w:right w:val="single" w:sz="8" w:space="0" w:color="A7A7A7"/>
            </w:tcBorders>
            <w:shd w:val="clear" w:color="auto" w:fill="auto"/>
            <w:tcMar>
              <w:top w:w="80" w:type="dxa"/>
              <w:left w:w="80" w:type="dxa"/>
              <w:bottom w:w="80" w:type="dxa"/>
              <w:right w:w="80" w:type="dxa"/>
            </w:tcMar>
          </w:tcPr>
          <w:p w14:paraId="1FC78E87"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250</w:t>
            </w:r>
          </w:p>
        </w:tc>
        <w:tc>
          <w:tcPr>
            <w:tcW w:w="1257"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45B38EA2"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590</w:t>
            </w:r>
          </w:p>
        </w:tc>
        <w:tc>
          <w:tcPr>
            <w:tcW w:w="1203" w:type="dxa"/>
            <w:tcBorders>
              <w:top w:val="single" w:sz="8" w:space="0" w:color="A7A7A7"/>
              <w:left w:val="single" w:sz="8" w:space="0" w:color="A7A7A7"/>
              <w:bottom w:val="single" w:sz="8" w:space="0" w:color="A7A7A7"/>
              <w:right w:val="single" w:sz="8" w:space="0" w:color="A7A7A7"/>
            </w:tcBorders>
            <w:shd w:val="clear" w:color="auto" w:fill="FFFFFF"/>
            <w:tcMar>
              <w:top w:w="80" w:type="dxa"/>
              <w:left w:w="80" w:type="dxa"/>
              <w:bottom w:w="80" w:type="dxa"/>
              <w:right w:w="80" w:type="dxa"/>
            </w:tcMar>
          </w:tcPr>
          <w:p w14:paraId="1473C288" w14:textId="77777777" w:rsidR="00B62810" w:rsidRDefault="007A0F62">
            <w:pPr>
              <w:pStyle w:val="Tre"/>
              <w:suppressAutoHyphens/>
              <w:jc w:val="center"/>
              <w:outlineLvl w:val="0"/>
            </w:pPr>
            <w:r>
              <w:rPr>
                <w:rStyle w:val="Brak"/>
                <w:rFonts w:ascii="Cambria" w:hAnsi="Cambria"/>
                <w:color w:val="333333"/>
                <w:sz w:val="22"/>
                <w:szCs w:val="22"/>
                <w:shd w:val="clear" w:color="auto" w:fill="FFFFFF"/>
                <w14:textOutline w14:w="12700" w14:cap="flat" w14:cmpd="sng" w14:algn="ctr">
                  <w14:noFill/>
                  <w14:prstDash w14:val="solid"/>
                  <w14:miter w14:lim="400000"/>
                </w14:textOutline>
              </w:rPr>
              <w:t>600</w:t>
            </w:r>
          </w:p>
        </w:tc>
      </w:tr>
    </w:tbl>
    <w:p w14:paraId="25140593" w14:textId="77777777" w:rsidR="00B62810" w:rsidRDefault="00B62810">
      <w:pPr>
        <w:pStyle w:val="WordDefaultStyleA"/>
        <w:widowControl w:val="0"/>
        <w:ind w:left="108" w:hanging="108"/>
        <w:jc w:val="left"/>
        <w:rPr>
          <w:rStyle w:val="BrakA"/>
        </w:rPr>
      </w:pPr>
    </w:p>
    <w:p w14:paraId="0C269519" w14:textId="77777777" w:rsidR="00B62810" w:rsidRDefault="00B62810">
      <w:pPr>
        <w:pStyle w:val="WordDefaultStyleA"/>
        <w:jc w:val="left"/>
        <w:rPr>
          <w:rStyle w:val="BrakA"/>
        </w:rPr>
      </w:pPr>
    </w:p>
    <w:p w14:paraId="3F329881" w14:textId="77777777" w:rsidR="00B62810" w:rsidRDefault="00B62810">
      <w:pPr>
        <w:pStyle w:val="WordDefaultStyleA"/>
        <w:jc w:val="left"/>
        <w:rPr>
          <w:rStyle w:val="BrakA"/>
        </w:rPr>
      </w:pPr>
    </w:p>
    <w:p w14:paraId="13115E17" w14:textId="77777777" w:rsidR="00B62810" w:rsidRDefault="007A0F62" w:rsidP="00511909">
      <w:pPr>
        <w:pStyle w:val="WordDefaultStyleA"/>
      </w:pPr>
      <w:r>
        <w:rPr>
          <w:rStyle w:val="BrakA"/>
        </w:rPr>
        <w:t xml:space="preserve">Z powyższych danych wynika, że Finowie zaczęli priorytetować wyjazdy zagraniczne w stosunku do podróży do kraju. Spadła ogólna liczba wyjazdów, o 11,5% zmniejszyła się turystyka krajowa ale liczba podróży zagranicznych wzrosła aż o 17%.  </w:t>
      </w:r>
    </w:p>
    <w:p w14:paraId="1C5347F0" w14:textId="77777777" w:rsidR="00B62810" w:rsidRDefault="00B62810" w:rsidP="00511909">
      <w:pPr>
        <w:pStyle w:val="WordDefaultStyleA"/>
        <w:rPr>
          <w:rStyle w:val="BrakA"/>
        </w:rPr>
      </w:pPr>
    </w:p>
    <w:p w14:paraId="41FB82C7" w14:textId="77777777" w:rsidR="00B62810" w:rsidRDefault="007A0F62" w:rsidP="00511909">
      <w:pPr>
        <w:pStyle w:val="WordDefaultStyleA"/>
      </w:pPr>
      <w:r>
        <w:rPr>
          <w:rStyle w:val="Brak"/>
          <w:b/>
          <w:bCs/>
        </w:rPr>
        <w:t>2.5  Wpływ wojny w Ukrainie na gospodarkę turystyczną, w tym w szczególności na turystykę wyjazdową i podróże do Polski.</w:t>
      </w:r>
    </w:p>
    <w:p w14:paraId="68D4D5CC" w14:textId="77777777" w:rsidR="00B62810" w:rsidRDefault="00B62810" w:rsidP="00511909">
      <w:pPr>
        <w:pStyle w:val="WordDefaultStyleA"/>
        <w:rPr>
          <w:rStyle w:val="BrakA"/>
        </w:rPr>
      </w:pPr>
    </w:p>
    <w:p w14:paraId="481AD437" w14:textId="77777777" w:rsidR="00B62810" w:rsidRDefault="007A0F62" w:rsidP="00511909">
      <w:pPr>
        <w:pStyle w:val="WordDefaultStyleA"/>
      </w:pPr>
      <w:r>
        <w:rPr>
          <w:rStyle w:val="BrakA"/>
        </w:rPr>
        <w:t>W końcu lutego 2022, szczególnie w Skandynawii, opanowanie sytuacji epidemicznej dawało nadzieję na powrót  wiosennych weekendowych wyjazdów turystycznych i pierwsze zapytania o imprezy dla grup pojawiły się u lokalnych tour operatorów. Niestety wybuch wojny w Ukrainie zablokował ten pozytywny postpandemiczny trend. W pierwszych tygodniach konfliktu, gdy okazało się, że nadzieje na jego szybkie rozwiązanie są płonne a ukraińscy uchodźcy szeroką falą przemieszczają się w kierunku Europy Środkowej i Zachodniej – ruch turystyczny zamarł. Szczególnie ucierpiały destynacje centralnej części naszego kontynentu a Polska, jako kraj, który finalnie przyjął największą liczbę emigrantów z Ukrainy, z jednej strony spotkała się z powszechnym uznaniem, wyrażanym także podczas spotkań z mieszkańcami krajów nordyckich, z drugiej strony przez długi czas była uważana nieomalże za terytorium działań wojennych. Rok 2023 niewiele zmienił w podejściu Nordyków do podróży do Polski. Do dziś wiele transmisji telewizyjnych i prasowych dotyczących konfliktu w Ukrainie jest prowadzonych z terenów po polskiej stronie granicy, co w kontekście prezentowanych ukraińskich zniszczeń wojennych nie poprawia wizerunku naszego kraju jako bezpiecznej destynacji turystycznej. Ponadto decyzja Szwecji i Finlandii o przystąpieniu do NATO oraz przedłużający się proces akcesyjny, szczególnie w odniesieniu do tego pierwszego kraju (Szwecja została przyjęta do Sojuszu Północnoatlantyckiego dopiero 6 marca 2024 roku, prawie rok później niż Finlandia) sprawiły, ze temat konfliktu wojennego był bardzo medialny w analizowanym 2023 roku.</w:t>
      </w:r>
    </w:p>
    <w:p w14:paraId="484C2B68" w14:textId="77777777" w:rsidR="00B62810" w:rsidRDefault="00B62810" w:rsidP="00511909">
      <w:pPr>
        <w:pStyle w:val="WordDefaultStyleA"/>
        <w:rPr>
          <w:rStyle w:val="BrakA"/>
        </w:rPr>
      </w:pPr>
    </w:p>
    <w:p w14:paraId="2D29FE10" w14:textId="77777777" w:rsidR="00B62810" w:rsidRDefault="007A0F62" w:rsidP="00511909">
      <w:pPr>
        <w:pStyle w:val="WordDefaultStyleA"/>
      </w:pPr>
      <w:r>
        <w:rPr>
          <w:rStyle w:val="BrakA"/>
        </w:rPr>
        <w:t>Ale konflikt wojenny w Europie był tylko jednym z elementów determinujących ruch turystyczny w 2023 roku. Nie należy zapominać o pogarszającej się kondycji ekonomicznej krajów nordyckich, wysokich kosztach kredytów i znacząco słabszym kursie wymiany korony szwedzkiej i norweskiej. W szczególnie trudnej sytuacji gospodarczej znalazła się granicząca z Rosją Finlandia. Infrastruktura turystyczna – szczególnie lotniska oraz dostęp linii lotniczych do nowych samolotów – nie wróciły jeszcze do stanu sprzed pandemii. W październiku 2023 doszło do wydarzeń zbrojnych na Bliskim Wschodzie, co spowodowało zamrożenie ruchu turystycznego nie tylko do Izraela ale również do sąsiednich destynacji, jak Egipt czy Tunezja.</w:t>
      </w:r>
    </w:p>
    <w:p w14:paraId="3F047804" w14:textId="77777777" w:rsidR="00B62810" w:rsidRDefault="00B62810" w:rsidP="00511909">
      <w:pPr>
        <w:pStyle w:val="WordDefaultStyleA"/>
        <w:rPr>
          <w:rStyle w:val="BrakA"/>
        </w:rPr>
      </w:pPr>
    </w:p>
    <w:p w14:paraId="297D00E1" w14:textId="77777777" w:rsidR="00B62810" w:rsidRDefault="007A0F62" w:rsidP="00511909">
      <w:pPr>
        <w:pStyle w:val="WordDefaultStyleA"/>
      </w:pPr>
      <w:r>
        <w:rPr>
          <w:rStyle w:val="BrakA"/>
        </w:rPr>
        <w:t>Pomimo kontynuacji niesprzyjających podróżowaniu trendów w 2023 roku, turystyka do Polski zaczęła się powoli odradzać. Już latem 2023 obserwowaliśmy zwiększony napływ indywidualnych turystów nordyckich a jesienią w polskich biurach podróży obsługujących turystów zagranicznych zaczęły pojawiać się zapytania o oferty grupowe z krajów naszego działania.</w:t>
      </w:r>
    </w:p>
    <w:p w14:paraId="3B977FE5" w14:textId="77777777" w:rsidR="00B62810" w:rsidRDefault="00B62810" w:rsidP="00511909">
      <w:pPr>
        <w:pStyle w:val="WordDefaultStyleA"/>
        <w:rPr>
          <w:rStyle w:val="BrakA"/>
        </w:rPr>
      </w:pPr>
    </w:p>
    <w:p w14:paraId="3E124AF5" w14:textId="77777777" w:rsidR="00B62810" w:rsidRDefault="007A0F62" w:rsidP="00511909">
      <w:pPr>
        <w:pStyle w:val="WordDefaultStyleA"/>
      </w:pPr>
      <w:r>
        <w:rPr>
          <w:rStyle w:val="BrakA"/>
        </w:rPr>
        <w:t>Chcąc poznać aktualne trendy w wyborach turystycznych Nordyków, ZOPOT Sztokholm zdecydował się wziąć po raz trzeci udział w badaniach przeprowadzonych przez znaną nordycką firmę badawczą Kairos Future. Specjalizują się oni w badaniu zmian w różnych dziedzinach gospodarki a ankieta dotycząca turystyki zrealizowana została po raz dziewiąty w oparciu o niemal stały zestaw pytań. Badania przeprowadzono na próbie ponad 4 500 uczestników, ponad 1 000 z każdego z analizowanych krajów a grupy odzwierciedlały ich sytuację demograficzną. Ponadto wykorzystano sztuczną inteligencję do analizy ponad 20 000 postów w mediach społecznościowych i ponad 20 000 artykułów w mediach, które odnosiły się do tematyki podróży krajowych i międzynarodowych. Polska po raz ostatni brała udział w analizie w 2019 roku – była to dla nas dobra okazja do porównań z okresem przedpandemicznym.</w:t>
      </w:r>
    </w:p>
    <w:p w14:paraId="5ED27FE1" w14:textId="77777777" w:rsidR="00B62810" w:rsidRDefault="00B62810" w:rsidP="00511909">
      <w:pPr>
        <w:pStyle w:val="WordDefaultStyleA"/>
        <w:rPr>
          <w:rStyle w:val="BrakA"/>
        </w:rPr>
      </w:pPr>
    </w:p>
    <w:p w14:paraId="4C80C3A3" w14:textId="77777777" w:rsidR="00B62810" w:rsidRDefault="007A0F62" w:rsidP="00511909">
      <w:pPr>
        <w:pStyle w:val="WordDefaultStyleA"/>
      </w:pPr>
      <w:r>
        <w:rPr>
          <w:rStyle w:val="BrakA"/>
        </w:rPr>
        <w:t>Dzięki badaniom wiemy, że:</w:t>
      </w:r>
    </w:p>
    <w:p w14:paraId="02DE2972" w14:textId="77777777" w:rsidR="00B62810" w:rsidRDefault="007A0F62" w:rsidP="00511909">
      <w:pPr>
        <w:pStyle w:val="WordDefaultStyleA"/>
        <w:numPr>
          <w:ilvl w:val="0"/>
          <w:numId w:val="4"/>
        </w:numPr>
      </w:pPr>
      <w:r>
        <w:rPr>
          <w:rStyle w:val="BrakA"/>
        </w:rPr>
        <w:t xml:space="preserve"> 94% Nordyków podróżowało w 2023 roku, łącznie zrealizowano 107 milionów wyjazdów turystycznych;</w:t>
      </w:r>
    </w:p>
    <w:p w14:paraId="1FE8BD1A" w14:textId="77777777" w:rsidR="00B62810" w:rsidRDefault="007A0F62" w:rsidP="00511909">
      <w:pPr>
        <w:pStyle w:val="WordDefaultStyleA"/>
        <w:numPr>
          <w:ilvl w:val="0"/>
          <w:numId w:val="4"/>
        </w:numPr>
      </w:pPr>
      <w:r>
        <w:rPr>
          <w:rStyle w:val="BrakA"/>
        </w:rPr>
        <w:t xml:space="preserve"> Średnio zrealizowano 5,3 podróży / mieszkańca krajów nordyckich, z czego 3,3 to wyjazdy krajowe a 2,1 zagraniczne;</w:t>
      </w:r>
    </w:p>
    <w:p w14:paraId="3EAB5B40" w14:textId="77777777" w:rsidR="00B62810" w:rsidRDefault="007A0F62" w:rsidP="00511909">
      <w:pPr>
        <w:pStyle w:val="WordDefaultStyleA"/>
        <w:numPr>
          <w:ilvl w:val="0"/>
          <w:numId w:val="4"/>
        </w:numPr>
      </w:pPr>
      <w:r>
        <w:rPr>
          <w:rStyle w:val="BrakA"/>
        </w:rPr>
        <w:t xml:space="preserve"> Turystyka zagraniczna osiągnęła około 90% stanu sprzed pandemii, przy czym Dania i Finlandia odbudowały 100% swojego ruchu wyjazdowego, Szwecja 88% a Norwegia 89%. Można założyć, że nadal podróże stanowią priorytet w strukturze wydatków nordyckich podróżnych, niezależnie od sytuacji geopolitycznej czy ekonomicznej a wolniejszy powrót do stanu z 2019 roku mieszkańców dwóch wskazanych krajów był skutkiem słabszej siły nabywczej korony szwedzkiej i norweskiej;</w:t>
      </w:r>
    </w:p>
    <w:p w14:paraId="4ED877B2" w14:textId="77777777" w:rsidR="00B62810" w:rsidRDefault="007A0F62" w:rsidP="00511909">
      <w:pPr>
        <w:pStyle w:val="WordDefaultStyleA"/>
        <w:numPr>
          <w:ilvl w:val="0"/>
          <w:numId w:val="4"/>
        </w:numPr>
      </w:pPr>
      <w:r>
        <w:rPr>
          <w:rStyle w:val="BrakA"/>
        </w:rPr>
        <w:t xml:space="preserve"> Oznaką luksusu dla większości nordyckich turystów jest, podobnie jak przed nastaniem pandemii, słynne duńskie „hygge”, czyli wspólne spędzanie czasu z rodziną, znajomymi w przytulnym miejscu. Jedynie Finowie nadal chwalą się przed swoimi kolegami w pracy tym, że mogli przede wszystkim zrelaksować się i „naładować baterie”;</w:t>
      </w:r>
    </w:p>
    <w:p w14:paraId="6174D283" w14:textId="77777777" w:rsidR="00B62810" w:rsidRDefault="007A0F62" w:rsidP="00511909">
      <w:pPr>
        <w:pStyle w:val="WordDefaultStyleA"/>
        <w:numPr>
          <w:ilvl w:val="0"/>
          <w:numId w:val="4"/>
        </w:numPr>
      </w:pPr>
      <w:r>
        <w:rPr>
          <w:rStyle w:val="BrakA"/>
        </w:rPr>
        <w:t xml:space="preserve"> Turystyka krajowa powróciła do stanu sprzed pandemii i wzrosła w porównaniu z 2022 rokiem o 2,2% w Szwecji, 3,9% w Danii i 10,8% w Finlandii. W Norwegii nastąpił spadek o 1,6%.</w:t>
      </w:r>
    </w:p>
    <w:p w14:paraId="59BCC62D" w14:textId="77777777" w:rsidR="00B62810" w:rsidRDefault="007A0F62" w:rsidP="00511909">
      <w:pPr>
        <w:pStyle w:val="WordDefaultStyleA"/>
        <w:numPr>
          <w:ilvl w:val="0"/>
          <w:numId w:val="4"/>
        </w:numPr>
      </w:pPr>
      <w:r>
        <w:rPr>
          <w:rStyle w:val="BrakA"/>
        </w:rPr>
        <w:t xml:space="preserve"> Turystyka zagraniczna to przede wszystkim kraje sąsiednie nordyckie oraz europejskie. Wyjazdy na pozostałe kontynenty stanowiły zaledwie połowę zrealizowanych podróży w 2019 roku czyli nie przekroczyły 7% całego ruchu turystycznego;</w:t>
      </w:r>
    </w:p>
    <w:p w14:paraId="3A0B9D57" w14:textId="77777777" w:rsidR="00B62810" w:rsidRDefault="007A0F62" w:rsidP="00511909">
      <w:pPr>
        <w:pStyle w:val="WordDefaultStyleA"/>
        <w:numPr>
          <w:ilvl w:val="0"/>
          <w:numId w:val="4"/>
        </w:numPr>
      </w:pPr>
      <w:r>
        <w:rPr>
          <w:rStyle w:val="BrakA"/>
        </w:rPr>
        <w:t xml:space="preserve"> </w:t>
      </w:r>
      <w:r>
        <w:rPr>
          <w:rStyle w:val="Brak"/>
          <w:b/>
          <w:bCs/>
        </w:rPr>
        <w:t xml:space="preserve"> </w:t>
      </w:r>
      <w:r>
        <w:rPr>
          <w:rStyle w:val="BrakA"/>
        </w:rPr>
        <w:t>85% turystów nie zniechęciły do podróżowania zawirowania polityczne i klimatyczne co oczywiście nie oznacza, że równie chętnie wybierali się do destynacji leżących w rejonie zagrożenia tymi zmianami;</w:t>
      </w:r>
    </w:p>
    <w:p w14:paraId="0946B7A4" w14:textId="2DC6F82D" w:rsidR="00511909" w:rsidRPr="00511909" w:rsidRDefault="007A0F62" w:rsidP="00511909">
      <w:pPr>
        <w:pStyle w:val="WordDefaultStyleA"/>
        <w:numPr>
          <w:ilvl w:val="0"/>
          <w:numId w:val="4"/>
        </w:numPr>
      </w:pPr>
      <w:r>
        <w:rPr>
          <w:rStyle w:val="BrakA"/>
        </w:rPr>
        <w:t xml:space="preserve">  Aktualny preferowany model wypoczynku to mieszanka pasywnego spędzania wakacji (wyjazdy czarterowe, rejsy, podróże bez dzieci, aktywności niewymagające wysiłku) z odrobiną aktywności. Przykładem bardziej pasywnej turystyki są wybory Finów. Duńczycy i Szwedzi korzystają ze wszystkich form po równo, a Norwegowie preferują aktywność nad pasywnością.</w:t>
      </w:r>
    </w:p>
    <w:tbl>
      <w:tblPr>
        <w:tblStyle w:val="TableNormal"/>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2"/>
        <w:gridCol w:w="4532"/>
      </w:tblGrid>
      <w:tr w:rsidR="00B62810" w:rsidRPr="00511909" w14:paraId="4DE92931" w14:textId="77777777">
        <w:trPr>
          <w:trHeight w:val="600"/>
        </w:trPr>
        <w:tc>
          <w:tcPr>
            <w:tcW w:w="9064" w:type="dxa"/>
            <w:gridSpan w:val="2"/>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14:paraId="13C028C7" w14:textId="77777777" w:rsidR="00B62810" w:rsidRDefault="007A0F62">
            <w:pPr>
              <w:pStyle w:val="Tre"/>
              <w:pageBreakBefo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uppressAutoHyphens/>
              <w:jc w:val="center"/>
              <w:outlineLvl w:val="0"/>
            </w:pPr>
            <w:r>
              <w:rPr>
                <w:rStyle w:val="Brak"/>
                <w:rFonts w:ascii="Cambria" w:hAnsi="Cambria"/>
                <w:b/>
                <w:bCs/>
                <w:color w:val="FFFFFF"/>
                <w14:textOutline w14:w="12700" w14:cap="flat" w14:cmpd="sng" w14:algn="ctr">
                  <w14:noFill/>
                  <w14:prstDash w14:val="solid"/>
                  <w14:miter w14:lim="400000"/>
                </w14:textOutline>
              </w:rPr>
              <w:t>20 najczęściej odwiedzanych przez Nordyk</w:t>
            </w:r>
            <w:proofErr w:type="spellStart"/>
            <w:r>
              <w:rPr>
                <w:rStyle w:val="Brak"/>
                <w:rFonts w:ascii="Cambria" w:hAnsi="Cambria"/>
                <w:b/>
                <w:bCs/>
                <w:color w:val="FFFFFF"/>
                <w:lang w:val="es-ES_tradnl"/>
                <w14:textOutline w14:w="12700" w14:cap="flat" w14:cmpd="sng" w14:algn="ctr">
                  <w14:noFill/>
                  <w14:prstDash w14:val="solid"/>
                  <w14:miter w14:lim="400000"/>
                </w14:textOutline>
              </w:rPr>
              <w:t>ó</w:t>
            </w:r>
            <w:proofErr w:type="spellEnd"/>
            <w:r>
              <w:rPr>
                <w:rStyle w:val="Brak"/>
                <w:rFonts w:ascii="Cambria" w:hAnsi="Cambria"/>
                <w:b/>
                <w:bCs/>
                <w:color w:val="FFFFFF"/>
                <w14:textOutline w14:w="12700" w14:cap="flat" w14:cmpd="sng" w14:algn="ctr">
                  <w14:noFill/>
                  <w14:prstDash w14:val="solid"/>
                  <w14:miter w14:lim="400000"/>
                </w14:textOutline>
              </w:rPr>
              <w:t>w kraj</w:t>
            </w:r>
            <w:proofErr w:type="spellStart"/>
            <w:r>
              <w:rPr>
                <w:rStyle w:val="Brak"/>
                <w:rFonts w:ascii="Cambria" w:hAnsi="Cambria"/>
                <w:b/>
                <w:bCs/>
                <w:color w:val="FFFFFF"/>
                <w:lang w:val="es-ES_tradnl"/>
                <w14:textOutline w14:w="12700" w14:cap="flat" w14:cmpd="sng" w14:algn="ctr">
                  <w14:noFill/>
                  <w14:prstDash w14:val="solid"/>
                  <w14:miter w14:lim="400000"/>
                </w14:textOutline>
              </w:rPr>
              <w:t>ó</w:t>
            </w:r>
            <w:proofErr w:type="spellEnd"/>
            <w:r>
              <w:rPr>
                <w:rStyle w:val="Brak"/>
                <w:rFonts w:ascii="Cambria" w:hAnsi="Cambria"/>
                <w:b/>
                <w:bCs/>
                <w:color w:val="FFFFFF"/>
                <w14:textOutline w14:w="12700" w14:cap="flat" w14:cmpd="sng" w14:algn="ctr">
                  <w14:noFill/>
                  <w14:prstDash w14:val="solid"/>
                  <w14:miter w14:lim="400000"/>
                </w14:textOutline>
              </w:rPr>
              <w:t xml:space="preserve">w </w:t>
            </w:r>
            <w:proofErr w:type="spellStart"/>
            <w:r>
              <w:rPr>
                <w:rStyle w:val="Brak"/>
                <w:rFonts w:ascii="Cambria" w:hAnsi="Cambria"/>
                <w:b/>
                <w:bCs/>
                <w:color w:val="FFFFFF"/>
                <w14:textOutline w14:w="12700" w14:cap="flat" w14:cmpd="sng" w14:algn="ctr">
                  <w14:noFill/>
                  <w14:prstDash w14:val="solid"/>
                  <w14:miter w14:lim="400000"/>
                </w14:textOutline>
              </w:rPr>
              <w:t>w</w:t>
            </w:r>
            <w:proofErr w:type="spellEnd"/>
            <w:r>
              <w:rPr>
                <w:rStyle w:val="Brak"/>
                <w:rFonts w:ascii="Cambria" w:hAnsi="Cambria"/>
                <w:b/>
                <w:bCs/>
                <w:color w:val="FFFFFF"/>
                <w14:textOutline w14:w="12700" w14:cap="flat" w14:cmpd="sng" w14:algn="ctr">
                  <w14:noFill/>
                  <w14:prstDash w14:val="solid"/>
                  <w14:miter w14:lim="400000"/>
                </w14:textOutline>
              </w:rPr>
              <w:t xml:space="preserve"> ciągu trzech ostatnich lat</w:t>
            </w:r>
          </w:p>
        </w:tc>
      </w:tr>
      <w:tr w:rsidR="00B62810" w14:paraId="3AF612A9" w14:textId="77777777">
        <w:trPr>
          <w:trHeight w:val="400"/>
        </w:trPr>
        <w:tc>
          <w:tcPr>
            <w:tcW w:w="4532"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4DE20E9"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 Szwecja - 61% (1) (1) (1)</w:t>
            </w:r>
          </w:p>
        </w:tc>
        <w:tc>
          <w:tcPr>
            <w:tcW w:w="4531"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8A13188"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11. Francja - 11% (11) (11) (9)</w:t>
            </w:r>
          </w:p>
        </w:tc>
      </w:tr>
      <w:tr w:rsidR="00B62810" w14:paraId="3DC92904" w14:textId="77777777">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D36B896"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2. Dania - 38% (2) (2) (2)</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7540825"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12. Austria - 7% (14) (14) (14)</w:t>
            </w:r>
          </w:p>
        </w:tc>
      </w:tr>
      <w:tr w:rsidR="00B62810" w14:paraId="258C5BDF" w14:textId="77777777">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937536B"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3. Norwegia - 30% (3) (4) (4)</w:t>
            </w:r>
          </w:p>
        </w:tc>
        <w:tc>
          <w:tcPr>
            <w:tcW w:w="453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A882F54"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13. Turcja - 7% (15) (18) (12)</w:t>
            </w:r>
          </w:p>
        </w:tc>
      </w:tr>
      <w:tr w:rsidR="00B62810" w14:paraId="1672C986" w14:textId="77777777">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4AD2FE3"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4. Hiszpania - 29% (4) (3) (3)</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312E1F1"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14.</w:t>
            </w:r>
            <w:r>
              <w:rPr>
                <w:rStyle w:val="Brak"/>
                <w:rFonts w:ascii="Cambria" w:hAnsi="Cambria"/>
                <w:b/>
                <w:bCs/>
                <w14:textOutline w14:w="12700" w14:cap="flat" w14:cmpd="sng" w14:algn="ctr">
                  <w14:noFill/>
                  <w14:prstDash w14:val="solid"/>
                  <w14:miter w14:lim="400000"/>
                </w14:textOutline>
              </w:rPr>
              <w:t xml:space="preserve"> Polska - 7% (13) (13) (17)</w:t>
            </w:r>
          </w:p>
        </w:tc>
      </w:tr>
      <w:tr w:rsidR="00B62810" w14:paraId="63D53ABB" w14:textId="77777777">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CA9CD88"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5. Niemcy - 25% (5) (5) (4)</w:t>
            </w:r>
          </w:p>
        </w:tc>
        <w:tc>
          <w:tcPr>
            <w:tcW w:w="453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93EA88F"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15. Holandia - 7% (16) (15) (15)</w:t>
            </w:r>
          </w:p>
        </w:tc>
      </w:tr>
      <w:tr w:rsidR="00B62810" w14:paraId="0C679192" w14:textId="77777777">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63B0E66"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6. Finlandia - 23% (6) (7) (6)</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22A41933"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16. USA - 6% (12) (12) (13)</w:t>
            </w:r>
          </w:p>
        </w:tc>
      </w:tr>
      <w:tr w:rsidR="00B62810" w14:paraId="0EA707A6" w14:textId="77777777">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C4851EC"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7. Grecja - 16% (8) (9) (10)</w:t>
            </w:r>
          </w:p>
        </w:tc>
        <w:tc>
          <w:tcPr>
            <w:tcW w:w="453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D7BBA4D"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17. Chorwacja - 5% (18) (16) (20)</w:t>
            </w:r>
          </w:p>
        </w:tc>
      </w:tr>
      <w:tr w:rsidR="00B62810" w14:paraId="692382CF" w14:textId="77777777">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8DD1F88"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8. Włochy - 16% (7) (8) (8)</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60F6F0A"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lang w:val="pt-PT"/>
                <w14:textOutline w14:w="12700" w14:cap="flat" w14:cmpd="sng" w14:algn="ctr">
                  <w14:noFill/>
                  <w14:prstDash w14:val="solid"/>
                  <w14:miter w14:lim="400000"/>
                </w14:textOutline>
              </w:rPr>
              <w:t>18. Portugalia - 5% (17) (21) (18)</w:t>
            </w:r>
          </w:p>
        </w:tc>
      </w:tr>
      <w:tr w:rsidR="00B62810" w14:paraId="6C9AF139" w14:textId="77777777">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25E378A"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 xml:space="preserve">9. </w:t>
            </w:r>
            <w:proofErr w:type="spellStart"/>
            <w:r>
              <w:rPr>
                <w:rStyle w:val="Brak"/>
                <w:rFonts w:ascii="Cambria" w:hAnsi="Cambria"/>
                <w14:textOutline w14:w="12700" w14:cap="flat" w14:cmpd="sng" w14:algn="ctr">
                  <w14:noFill/>
                  <w14:prstDash w14:val="solid"/>
                  <w14:miter w14:lim="400000"/>
                </w14:textOutline>
              </w:rPr>
              <w:t>Wlk</w:t>
            </w:r>
            <w:proofErr w:type="spellEnd"/>
            <w:r>
              <w:rPr>
                <w:rStyle w:val="Brak"/>
                <w:rFonts w:ascii="Cambria" w:hAnsi="Cambria"/>
                <w14:textOutline w14:w="12700" w14:cap="flat" w14:cmpd="sng" w14:algn="ctr">
                  <w14:noFill/>
                  <w14:prstDash w14:val="solid"/>
                  <w14:miter w14:lim="400000"/>
                </w14:textOutline>
              </w:rPr>
              <w:t xml:space="preserve"> Brytania - 15% (9) (6) (7)</w:t>
            </w:r>
          </w:p>
        </w:tc>
        <w:tc>
          <w:tcPr>
            <w:tcW w:w="453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38551AB"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19. Łotwa - 4% (19) (17) (17)</w:t>
            </w:r>
          </w:p>
        </w:tc>
      </w:tr>
      <w:tr w:rsidR="00B62810" w14:paraId="223FBA0F" w14:textId="77777777">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F250B53"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lang w:val="it-IT"/>
                <w14:textOutline w14:w="12700" w14:cap="flat" w14:cmpd="sng" w14:algn="ctr">
                  <w14:noFill/>
                  <w14:prstDash w14:val="solid"/>
                  <w14:miter w14:lim="400000"/>
                </w14:textOutline>
              </w:rPr>
              <w:t>10. Estonia - 13% (10) (10) (11)</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B302D1F"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20. Tajlandia - 4% (21) (20) (16)</w:t>
            </w:r>
          </w:p>
        </w:tc>
      </w:tr>
    </w:tbl>
    <w:p w14:paraId="01D182FB" w14:textId="33CF7A6C" w:rsidR="00B62810" w:rsidRDefault="007A0F62">
      <w:pPr>
        <w:pStyle w:val="WordDefaultStyleA"/>
        <w:jc w:val="left"/>
        <w:rPr>
          <w:rStyle w:val="BrakA"/>
        </w:rPr>
      </w:pPr>
      <w:r>
        <w:rPr>
          <w:rStyle w:val="BrakA"/>
        </w:rPr>
        <w:t>Z badań znamy także popularność destynacji wybieranych przez Nordyków:</w:t>
      </w:r>
      <w:r>
        <w:rPr>
          <w:rStyle w:val="BrakA"/>
        </w:rPr>
        <w:br/>
      </w:r>
      <w:r>
        <w:rPr>
          <w:rStyle w:val="Brak"/>
        </w:rPr>
        <w:t xml:space="preserve">W nawiasach procent udziału w rynku oraz pozycja w 2022, 2019 i 2014 roku </w:t>
      </w:r>
    </w:p>
    <w:p w14:paraId="5D9A8D21" w14:textId="77777777" w:rsidR="00B62810" w:rsidRDefault="00B62810">
      <w:pPr>
        <w:pStyle w:val="WordDefaultStyleA"/>
        <w:jc w:val="left"/>
        <w:rPr>
          <w:rStyle w:val="BrakA"/>
        </w:rPr>
      </w:pPr>
    </w:p>
    <w:p w14:paraId="0D2522CE" w14:textId="77777777" w:rsidR="00B62810" w:rsidRDefault="007A0F62">
      <w:pPr>
        <w:pStyle w:val="WordDefaultStyleA"/>
        <w:jc w:val="left"/>
        <w:rPr>
          <w:rStyle w:val="BrakA"/>
        </w:rPr>
      </w:pPr>
      <w:r>
        <w:rPr>
          <w:rStyle w:val="BrakA"/>
        </w:rPr>
        <w:t>Cieszy w miarę stabilna pozycja Polski, która pomimo swojej geolokalizacji nadal przyciągnęła do siebie 7% ankietowanych Nordyków w ostatnich 3 latach.</w:t>
      </w:r>
    </w:p>
    <w:p w14:paraId="64B4EDF5" w14:textId="77777777" w:rsidR="00B62810" w:rsidRDefault="00B62810">
      <w:pPr>
        <w:pStyle w:val="WordDefaultStyleA"/>
        <w:jc w:val="left"/>
        <w:rPr>
          <w:rStyle w:val="BrakA"/>
        </w:rPr>
      </w:pPr>
    </w:p>
    <w:p w14:paraId="0C19C7E5" w14:textId="77777777" w:rsidR="00B62810" w:rsidRDefault="007A0F62">
      <w:pPr>
        <w:pStyle w:val="WordDefaultStyleA"/>
        <w:jc w:val="left"/>
        <w:rPr>
          <w:rStyle w:val="BrakA"/>
        </w:rPr>
      </w:pPr>
      <w:r>
        <w:rPr>
          <w:rStyle w:val="BrakA"/>
        </w:rPr>
        <w:t>Znamy także najbardziej popularne formy wypoczynku Nordyków:</w:t>
      </w:r>
    </w:p>
    <w:tbl>
      <w:tblPr>
        <w:tblStyle w:val="TableNormal"/>
        <w:tblW w:w="90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532"/>
        <w:gridCol w:w="4532"/>
      </w:tblGrid>
      <w:tr w:rsidR="00B62810" w:rsidRPr="00511909" w14:paraId="74D33D9F" w14:textId="77777777">
        <w:trPr>
          <w:trHeight w:val="360"/>
          <w:tblHeader/>
        </w:trPr>
        <w:tc>
          <w:tcPr>
            <w:tcW w:w="9064" w:type="dxa"/>
            <w:gridSpan w:val="2"/>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14:paraId="54164148" w14:textId="77777777" w:rsidR="00B62810" w:rsidRDefault="007A0F62">
            <w:pPr>
              <w:pStyle w:val="T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uppressAutoHyphens/>
              <w:jc w:val="center"/>
              <w:outlineLvl w:val="0"/>
            </w:pPr>
            <w:r>
              <w:rPr>
                <w:rStyle w:val="Brak"/>
                <w:rFonts w:ascii="Cambria" w:hAnsi="Cambria"/>
                <w:b/>
                <w:bCs/>
                <w:color w:val="FFFFFF"/>
                <w14:textOutline w14:w="12700" w14:cap="flat" w14:cmpd="sng" w14:algn="ctr">
                  <w14:noFill/>
                  <w14:prstDash w14:val="solid"/>
                  <w14:miter w14:lim="400000"/>
                </w14:textOutline>
              </w:rPr>
              <w:t>Najczęściej wybierane formy wypoczynku w ciągu 3 ostatnich lat</w:t>
            </w:r>
          </w:p>
        </w:tc>
      </w:tr>
      <w:tr w:rsidR="00B62810" w:rsidRPr="00511909" w14:paraId="1ADA7F54" w14:textId="77777777">
        <w:tblPrEx>
          <w:shd w:val="clear" w:color="auto" w:fill="CED7E7"/>
        </w:tblPrEx>
        <w:trPr>
          <w:trHeight w:val="600"/>
        </w:trPr>
        <w:tc>
          <w:tcPr>
            <w:tcW w:w="4532"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6EFEE20"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 Słońce i plaża (50%)</w:t>
            </w:r>
          </w:p>
        </w:tc>
        <w:tc>
          <w:tcPr>
            <w:tcW w:w="4531"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D8F3B16"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6. Wypoczynek w wynajętym domku letniskowym (19%)</w:t>
            </w:r>
          </w:p>
        </w:tc>
      </w:tr>
      <w:tr w:rsidR="00B62810" w14:paraId="15B9A192" w14:textId="77777777">
        <w:tblPrEx>
          <w:shd w:val="clear" w:color="auto" w:fill="CED7E7"/>
        </w:tblPrEx>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4B53862B"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lang w:val="en-US"/>
                <w14:textOutline w14:w="12700" w14:cap="flat" w14:cmpd="sng" w14:algn="ctr">
                  <w14:noFill/>
                  <w14:prstDash w14:val="solid"/>
                  <w14:miter w14:lim="400000"/>
                </w14:textOutline>
              </w:rPr>
              <w:t>2. City Breaks (46%)</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E4EF27E"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7. Zakupy (18%)</w:t>
            </w:r>
          </w:p>
        </w:tc>
      </w:tr>
      <w:tr w:rsidR="00B62810" w14:paraId="767E34B7" w14:textId="77777777">
        <w:tblPrEx>
          <w:shd w:val="clear" w:color="auto" w:fill="CED7E7"/>
        </w:tblPrEx>
        <w:trPr>
          <w:trHeight w:val="580"/>
        </w:trPr>
        <w:tc>
          <w:tcPr>
            <w:tcW w:w="453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D7810B2"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3. Wypoczynek w wynajętym domku letniskowym (22%)</w:t>
            </w:r>
          </w:p>
        </w:tc>
        <w:tc>
          <w:tcPr>
            <w:tcW w:w="453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225280C"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8. Inne (13%)</w:t>
            </w:r>
          </w:p>
        </w:tc>
      </w:tr>
      <w:tr w:rsidR="00B62810" w14:paraId="51B71C1B" w14:textId="77777777">
        <w:tblPrEx>
          <w:shd w:val="clear" w:color="auto" w:fill="CED7E7"/>
        </w:tblPrEx>
        <w:trPr>
          <w:trHeight w:val="58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2B940F2"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4. Zwiedzanie / wycieczka objazdowa samochodem (21%)</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7FD767A"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lang w:val="it-IT"/>
                <w14:textOutline w14:w="12700" w14:cap="flat" w14:cmpd="sng" w14:algn="ctr">
                  <w14:noFill/>
                  <w14:prstDash w14:val="solid"/>
                  <w14:miter w14:lim="400000"/>
                </w14:textOutline>
              </w:rPr>
              <w:t>9. Wellness &amp; Spa (12%)</w:t>
            </w:r>
          </w:p>
        </w:tc>
      </w:tr>
      <w:tr w:rsidR="00B62810" w14:paraId="42DC202F" w14:textId="77777777">
        <w:tblPrEx>
          <w:shd w:val="clear" w:color="auto" w:fill="CED7E7"/>
        </w:tblPrEx>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8BE2653"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5. Wizyta w parku rozrywki (19%)</w:t>
            </w:r>
          </w:p>
        </w:tc>
        <w:tc>
          <w:tcPr>
            <w:tcW w:w="453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1D13B49"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lang w:val="en-US"/>
                <w14:textOutline w14:w="12700" w14:cap="flat" w14:cmpd="sng" w14:algn="ctr">
                  <w14:noFill/>
                  <w14:prstDash w14:val="solid"/>
                  <w14:miter w14:lim="400000"/>
                </w14:textOutline>
              </w:rPr>
              <w:t>10. All-inclusive (11%)</w:t>
            </w:r>
          </w:p>
        </w:tc>
      </w:tr>
    </w:tbl>
    <w:p w14:paraId="73F4F644" w14:textId="77777777" w:rsidR="00B62810" w:rsidRDefault="00B62810">
      <w:pPr>
        <w:pStyle w:val="WordDefaultStyleA"/>
        <w:jc w:val="left"/>
        <w:rPr>
          <w:rStyle w:val="BrakA"/>
        </w:rPr>
      </w:pPr>
    </w:p>
    <w:p w14:paraId="4FACCEB0" w14:textId="51A13B48" w:rsidR="00B62810" w:rsidRDefault="007A0F62">
      <w:pPr>
        <w:pStyle w:val="WordDefaultStyleA"/>
        <w:jc w:val="left"/>
        <w:rPr>
          <w:rStyle w:val="BrakA"/>
        </w:rPr>
      </w:pPr>
      <w:r>
        <w:rPr>
          <w:rStyle w:val="BrakA"/>
        </w:rPr>
        <w:t>Zawsze słońce i plaża stanowić będą największy magnes dla skazanych na surowy klimat mieszkańców krajów nordyckich ale cieszy nas wysoka pozycja wyjazdów weekendowych do dużych miast, zwiedzanie a także wellness &amp; spa – wszystko to Polska może także zaoferować.</w:t>
      </w:r>
    </w:p>
    <w:tbl>
      <w:tblPr>
        <w:tblStyle w:val="TableNormal"/>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532"/>
        <w:gridCol w:w="4532"/>
      </w:tblGrid>
      <w:tr w:rsidR="00B62810" w:rsidRPr="00511909" w14:paraId="1F67B9AF" w14:textId="77777777">
        <w:trPr>
          <w:trHeight w:val="360"/>
          <w:tblHeader/>
        </w:trPr>
        <w:tc>
          <w:tcPr>
            <w:tcW w:w="9064" w:type="dxa"/>
            <w:gridSpan w:val="2"/>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14:paraId="33820E34" w14:textId="77777777" w:rsidR="00B62810" w:rsidRDefault="007A0F62">
            <w:pPr>
              <w:pStyle w:val="Tre"/>
              <w:pageBreakBefo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uppressAutoHyphens/>
              <w:jc w:val="center"/>
              <w:outlineLvl w:val="0"/>
            </w:pPr>
            <w:r>
              <w:rPr>
                <w:rStyle w:val="Brak"/>
                <w:rFonts w:ascii="Cambria" w:hAnsi="Cambria"/>
                <w:b/>
                <w:bCs/>
                <w:color w:val="FFFFFF"/>
                <w14:textOutline w14:w="12700" w14:cap="flat" w14:cmpd="sng" w14:algn="ctr">
                  <w14:noFill/>
                  <w14:prstDash w14:val="solid"/>
                  <w14:miter w14:lim="400000"/>
                </w14:textOutline>
              </w:rPr>
              <w:t>10 czynnik</w:t>
            </w:r>
            <w:proofErr w:type="spellStart"/>
            <w:r>
              <w:rPr>
                <w:rStyle w:val="Brak"/>
                <w:rFonts w:ascii="Cambria" w:hAnsi="Cambria"/>
                <w:b/>
                <w:bCs/>
                <w:color w:val="FFFFFF"/>
                <w:lang w:val="es-ES_tradnl"/>
                <w14:textOutline w14:w="12700" w14:cap="flat" w14:cmpd="sng" w14:algn="ctr">
                  <w14:noFill/>
                  <w14:prstDash w14:val="solid"/>
                  <w14:miter w14:lim="400000"/>
                </w14:textOutline>
              </w:rPr>
              <w:t>ó</w:t>
            </w:r>
            <w:proofErr w:type="spellEnd"/>
            <w:r>
              <w:rPr>
                <w:rStyle w:val="Brak"/>
                <w:rFonts w:ascii="Cambria" w:hAnsi="Cambria"/>
                <w:b/>
                <w:bCs/>
                <w:color w:val="FFFFFF"/>
                <w14:textOutline w14:w="12700" w14:cap="flat" w14:cmpd="sng" w14:algn="ctr">
                  <w14:noFill/>
                  <w14:prstDash w14:val="solid"/>
                  <w14:miter w14:lim="400000"/>
                </w14:textOutline>
              </w:rPr>
              <w:t xml:space="preserve">w mających wpływ na </w:t>
            </w:r>
            <w:proofErr w:type="spellStart"/>
            <w:r>
              <w:rPr>
                <w:rStyle w:val="Brak"/>
                <w:rFonts w:ascii="Cambria" w:hAnsi="Cambria"/>
                <w:b/>
                <w:bCs/>
                <w:color w:val="FFFFFF"/>
                <w14:textOutline w14:w="12700" w14:cap="flat" w14:cmpd="sng" w14:algn="ctr">
                  <w14:noFill/>
                  <w14:prstDash w14:val="solid"/>
                  <w14:miter w14:lim="400000"/>
                </w14:textOutline>
              </w:rPr>
              <w:t>wyb</w:t>
            </w:r>
            <w:r>
              <w:rPr>
                <w:rStyle w:val="Brak"/>
                <w:rFonts w:ascii="Cambria" w:hAnsi="Cambria"/>
                <w:b/>
                <w:bCs/>
                <w:color w:val="FFFFFF"/>
                <w:lang w:val="es-ES_tradnl"/>
                <w14:textOutline w14:w="12700" w14:cap="flat" w14:cmpd="sng" w14:algn="ctr">
                  <w14:noFill/>
                  <w14:prstDash w14:val="solid"/>
                  <w14:miter w14:lim="400000"/>
                </w14:textOutline>
              </w:rPr>
              <w:t>ó</w:t>
            </w:r>
            <w:proofErr w:type="spellEnd"/>
            <w:r>
              <w:rPr>
                <w:rStyle w:val="Brak"/>
                <w:rFonts w:ascii="Cambria" w:hAnsi="Cambria"/>
                <w:b/>
                <w:bCs/>
                <w:color w:val="FFFFFF"/>
                <w14:textOutline w14:w="12700" w14:cap="flat" w14:cmpd="sng" w14:algn="ctr">
                  <w14:noFill/>
                  <w14:prstDash w14:val="solid"/>
                  <w14:miter w14:lim="400000"/>
                </w14:textOutline>
              </w:rPr>
              <w:t>r destynacji</w:t>
            </w:r>
          </w:p>
        </w:tc>
      </w:tr>
      <w:tr w:rsidR="00B62810" w14:paraId="7B0A9669" w14:textId="77777777">
        <w:tblPrEx>
          <w:shd w:val="clear" w:color="auto" w:fill="CED7E7"/>
        </w:tblPrEx>
        <w:trPr>
          <w:trHeight w:val="400"/>
        </w:trPr>
        <w:tc>
          <w:tcPr>
            <w:tcW w:w="4532"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94B2B6A"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 Ciepło i słońce (23%) (25%)</w:t>
            </w:r>
          </w:p>
        </w:tc>
        <w:tc>
          <w:tcPr>
            <w:tcW w:w="4531"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3CD6E3C"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6. Natura (16%) (17%)</w:t>
            </w:r>
          </w:p>
        </w:tc>
      </w:tr>
      <w:tr w:rsidR="00B62810" w14:paraId="50B39237" w14:textId="77777777">
        <w:tblPrEx>
          <w:shd w:val="clear" w:color="auto" w:fill="CED7E7"/>
        </w:tblPrEx>
        <w:trPr>
          <w:trHeight w:val="48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0393733"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2.Już tam byliśmy… (22%) (25%)</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E077F84"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7. Dostępność transportowa (16%) (16%)</w:t>
            </w:r>
          </w:p>
        </w:tc>
      </w:tr>
      <w:tr w:rsidR="00B62810" w14:paraId="608832B2" w14:textId="77777777">
        <w:tblPrEx>
          <w:shd w:val="clear" w:color="auto" w:fill="CED7E7"/>
        </w:tblPrEx>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3FD28B7"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3. Ekscytująca destynacja (20%) (24%)</w:t>
            </w:r>
          </w:p>
        </w:tc>
        <w:tc>
          <w:tcPr>
            <w:tcW w:w="453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20FBB0F"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8. Atrakcyjnie niska cena (16%) (15%)</w:t>
            </w:r>
          </w:p>
        </w:tc>
      </w:tr>
      <w:tr w:rsidR="00B62810" w14:paraId="054CF1B5" w14:textId="77777777">
        <w:tblPrEx>
          <w:shd w:val="clear" w:color="auto" w:fill="CED7E7"/>
        </w:tblPrEx>
        <w:trPr>
          <w:trHeight w:val="58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40DC76E"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4. Odwiedziny rodziny i znajomych (19%) (21%)</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FA8AEF5"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9. Główne atrakcje (15%) (16%)</w:t>
            </w:r>
          </w:p>
        </w:tc>
      </w:tr>
      <w:tr w:rsidR="00B62810" w14:paraId="3CD77BD8" w14:textId="77777777">
        <w:tblPrEx>
          <w:shd w:val="clear" w:color="auto" w:fill="CED7E7"/>
        </w:tblPrEx>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3E1543D"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5. Krajobraz (17%) (17%)</w:t>
            </w:r>
          </w:p>
        </w:tc>
        <w:tc>
          <w:tcPr>
            <w:tcW w:w="453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6699DCD"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10. Bezpieczna destynacja (12%)</w:t>
            </w:r>
          </w:p>
        </w:tc>
      </w:tr>
    </w:tbl>
    <w:p w14:paraId="31B6D40D" w14:textId="77777777" w:rsidR="00B62810" w:rsidRDefault="007A0F62">
      <w:pPr>
        <w:pStyle w:val="WordDefaultStyleA"/>
        <w:jc w:val="left"/>
      </w:pPr>
      <w:r>
        <w:rPr>
          <w:rStyle w:val="BrakA"/>
        </w:rPr>
        <w:t>I jeszcze wykaz czynników, które mają wpływ na wybór destynacji:</w:t>
      </w:r>
      <w:r>
        <w:rPr>
          <w:rStyle w:val="Brak"/>
          <w:i/>
          <w:iCs/>
          <w:sz w:val="26"/>
          <w:szCs w:val="26"/>
        </w:rPr>
        <w:t>W nawiasach procent udziału w rynku oraz procent udziału w rynku w 2019 roku</w:t>
      </w:r>
      <w:r>
        <w:rPr>
          <w:rStyle w:val="Brak"/>
          <w:sz w:val="26"/>
          <w:szCs w:val="26"/>
        </w:rPr>
        <w:t xml:space="preserve"> </w:t>
      </w:r>
    </w:p>
    <w:p w14:paraId="4DF1D49B" w14:textId="77777777" w:rsidR="00B62810" w:rsidRDefault="00B62810">
      <w:pPr>
        <w:pStyle w:val="WordDefaultStyleA"/>
        <w:jc w:val="left"/>
        <w:rPr>
          <w:rStyle w:val="BrakA"/>
        </w:rPr>
      </w:pPr>
    </w:p>
    <w:p w14:paraId="51762F00" w14:textId="77777777" w:rsidR="00B62810" w:rsidRDefault="007A0F62">
      <w:pPr>
        <w:pStyle w:val="WordDefaultStyleA"/>
        <w:jc w:val="left"/>
        <w:rPr>
          <w:rStyle w:val="BrakA"/>
        </w:rPr>
      </w:pPr>
      <w:r>
        <w:rPr>
          <w:rStyle w:val="BrakA"/>
        </w:rPr>
        <w:t>Jak widać:</w:t>
      </w:r>
    </w:p>
    <w:p w14:paraId="3DF5F408" w14:textId="77777777" w:rsidR="00B62810" w:rsidRDefault="007A0F62" w:rsidP="00511909">
      <w:pPr>
        <w:pStyle w:val="WordDefaultStyleA"/>
        <w:numPr>
          <w:ilvl w:val="0"/>
          <w:numId w:val="4"/>
        </w:numPr>
      </w:pPr>
      <w:r>
        <w:rPr>
          <w:rStyle w:val="BrakA"/>
        </w:rPr>
        <w:t xml:space="preserve"> Lekko spadło znaczenie wcześniejszej wizyty w odwiedzanym miejscu, egzotyczności destynacji czy odwiedzin rodziny i znajomych;</w:t>
      </w:r>
    </w:p>
    <w:p w14:paraId="1F9FB95D" w14:textId="77777777" w:rsidR="00B62810" w:rsidRDefault="007A0F62" w:rsidP="00511909">
      <w:pPr>
        <w:pStyle w:val="WordDefaultStyleA"/>
        <w:numPr>
          <w:ilvl w:val="0"/>
          <w:numId w:val="4"/>
        </w:numPr>
      </w:pPr>
      <w:r>
        <w:rPr>
          <w:rStyle w:val="BrakA"/>
        </w:rPr>
        <w:t xml:space="preserve"> Wysoko premiowane są krajobrazy, natura a także niska cena pakietu – tu również Polska ma dużo do zaoferowania;</w:t>
      </w:r>
    </w:p>
    <w:p w14:paraId="4D96F230" w14:textId="77777777" w:rsidR="00B62810" w:rsidRDefault="007A0F62" w:rsidP="00511909">
      <w:pPr>
        <w:pStyle w:val="WordDefaultStyleA"/>
        <w:numPr>
          <w:ilvl w:val="0"/>
          <w:numId w:val="4"/>
        </w:numPr>
      </w:pPr>
      <w:r>
        <w:rPr>
          <w:rStyle w:val="BrakA"/>
        </w:rPr>
        <w:t xml:space="preserve"> Na miejscu 11 znalazła się turystyka kulinarna – ważna dla 12% respondentów;</w:t>
      </w:r>
    </w:p>
    <w:p w14:paraId="32D5E744" w14:textId="77777777" w:rsidR="00B62810" w:rsidRDefault="007A0F62" w:rsidP="00511909">
      <w:pPr>
        <w:pStyle w:val="WordDefaultStyleA"/>
        <w:numPr>
          <w:ilvl w:val="0"/>
          <w:numId w:val="4"/>
        </w:numPr>
      </w:pPr>
      <w:r>
        <w:rPr>
          <w:rStyle w:val="BrakA"/>
        </w:rPr>
        <w:t xml:space="preserve"> Niskie koszty utrzymania podczas pobytu były istotne dla 9% badanych;</w:t>
      </w:r>
    </w:p>
    <w:p w14:paraId="5315EEA6" w14:textId="77777777" w:rsidR="00B62810" w:rsidRDefault="007A0F62" w:rsidP="00511909">
      <w:pPr>
        <w:pStyle w:val="WordDefaultStyleA"/>
        <w:numPr>
          <w:ilvl w:val="0"/>
          <w:numId w:val="4"/>
        </w:numPr>
      </w:pPr>
      <w:r>
        <w:rPr>
          <w:rStyle w:val="BrakA"/>
        </w:rPr>
        <w:t xml:space="preserve"> A dla 7% ważna była możliwość zrobienia atrakcyjnych zakupów, gościnność, serwis i oferta kulturalna;</w:t>
      </w:r>
    </w:p>
    <w:p w14:paraId="0B713312" w14:textId="77777777" w:rsidR="00B62810" w:rsidRDefault="007A0F62" w:rsidP="00511909">
      <w:pPr>
        <w:pStyle w:val="WordDefaultStyleA"/>
        <w:numPr>
          <w:ilvl w:val="0"/>
          <w:numId w:val="4"/>
        </w:numPr>
      </w:pPr>
      <w:r>
        <w:rPr>
          <w:rStyle w:val="BrakA"/>
        </w:rPr>
        <w:t xml:space="preserve"> Jedynie 2% wskazało ofertę turystyki zrównoważonej jako główny czynnik wyboru destynacji wakacyjnej.</w:t>
      </w:r>
    </w:p>
    <w:p w14:paraId="10C0E813" w14:textId="77777777" w:rsidR="00B62810" w:rsidRDefault="007A0F62"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A"/>
        </w:rPr>
      </w:pPr>
      <w:r>
        <w:rPr>
          <w:rStyle w:val="Brak"/>
          <w:rFonts w:ascii="Cambria" w:hAnsi="Cambria"/>
        </w:rPr>
        <w:t>Turystyka zrównoważona – jej wpływ na wybory związane z podróżowaniem znacząco zmalał. W 2023 roku jedynie 27% respondentów potwierdziło chęć dokonania zmian w sposobie uprawiania turystyki, by chronić klimat (36% w 2019 roku) – 30% Szwedów, 29% Finów i tylko 24% Duńczyków i Norwegów. Tylko 4% korzysta z programów kompensacji klimatycznych. Nordycy uważają, że kwestia ochrona środowiska przesunęła się odpowiedzialności klienta na organizatora ruchu turystycznego.</w:t>
      </w:r>
    </w:p>
    <w:p w14:paraId="5393CCA9" w14:textId="77777777" w:rsidR="00B62810" w:rsidRDefault="00B62810"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
          <w:rFonts w:ascii="Cambria" w:eastAsia="Cambria" w:hAnsi="Cambria" w:cs="Cambria"/>
        </w:rPr>
      </w:pPr>
    </w:p>
    <w:p w14:paraId="681F4C3B" w14:textId="77777777" w:rsidR="00B62810" w:rsidRDefault="007A0F62"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A"/>
        </w:rPr>
      </w:pPr>
      <w:r>
        <w:rPr>
          <w:rStyle w:val="Brak"/>
          <w:rFonts w:ascii="Cambria" w:hAnsi="Cambria"/>
        </w:rPr>
        <w:t>Jeśli chodzi o termin wyjazdu wakacyjnego to nadal jest to – jak i w czasach przedpandemicznych – lipiec ale w 2023 roku wyraźnie wzrosła liczba turystów wybierających maj, czerwiec czy sierpień na dłuższe wakacje. Ta zmiana wynika nie tylko ze względów ekonomicznych czyli chęci skorzystania z niższych kosztów wyjazdu przed i po sezonie ale także ze względów klimatycznych – ubiegłoroczne lato należało do najcieplejszych w rejonie Morza Śródziemnego, ulubionej letniej destynacji tutejszych rezydentów.</w:t>
      </w:r>
    </w:p>
    <w:p w14:paraId="13BC4F4C" w14:textId="77777777" w:rsidR="00B62810" w:rsidRDefault="00B62810"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
          <w:rFonts w:ascii="Cambria" w:eastAsia="Cambria" w:hAnsi="Cambria" w:cs="Cambria"/>
        </w:rPr>
      </w:pPr>
    </w:p>
    <w:p w14:paraId="3A3AE49C" w14:textId="77777777" w:rsidR="00B62810" w:rsidRDefault="007A0F62"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A"/>
        </w:rPr>
      </w:pPr>
      <w:r>
        <w:rPr>
          <w:rStyle w:val="Brak"/>
          <w:rFonts w:ascii="Cambria" w:hAnsi="Cambria"/>
        </w:rPr>
        <w:t xml:space="preserve">Długość wakacji ponownie się wydłuża – długość 7+ nocy wybrało prawie tylu turystów co w okresie przedpandemicznym. Znaczna większość – 55% wybrało podróż z partnerem (głównie po 30 roku życia) ale 20% wybrało towarzystwo przyjaciół (głównie osoby w wieku poniżej 30 roku życia i w grupach 40+ oraz 60+). Wzrósł natomiast odsetek młodzieży w wieku 16-24 oraz osób w wieku 25-34 podróżujących z rodzicami w porównaniu z danymi z 2019 roku. </w:t>
      </w:r>
    </w:p>
    <w:p w14:paraId="006111E3" w14:textId="77777777" w:rsidR="00B62810" w:rsidRDefault="00B62810">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rPr>
          <w:rStyle w:val="Brak"/>
          <w:rFonts w:ascii="Cambria" w:eastAsia="Cambria" w:hAnsi="Cambria" w:cs="Cambria"/>
        </w:rPr>
      </w:pPr>
    </w:p>
    <w:p w14:paraId="26F7E372" w14:textId="77777777" w:rsidR="00B62810" w:rsidRDefault="007A0F62"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A"/>
        </w:rPr>
      </w:pPr>
      <w:r>
        <w:rPr>
          <w:rStyle w:val="Brak"/>
          <w:rFonts w:ascii="Cambria" w:hAnsi="Cambria"/>
        </w:rPr>
        <w:t>Raport pokazuje także zmiany w sposobie obecnego planowania wyjazdów turystycznych:</w:t>
      </w:r>
    </w:p>
    <w:p w14:paraId="0EDD45D0"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Przed pandemią do planowania przystępowano na 4-6 miesięcy przed wyjazdem. W 2023 roku 66% turystów zdecydowało o wyborze celu podróży 2 miesiące przed wyjazdem lub wcześniej, podczas gdy 34% podjęło te decyzje w ciągu miesiąca przed wyjazdem;</w:t>
      </w:r>
    </w:p>
    <w:p w14:paraId="59CC03AB"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W 2023 roku ponownie źródłem inspiracji jest</w:t>
      </w:r>
      <w:r>
        <w:rPr>
          <w:rStyle w:val="Brak"/>
          <w:rFonts w:ascii="Cambria" w:hAnsi="Cambria"/>
          <w:b/>
          <w:bCs/>
        </w:rPr>
        <w:t xml:space="preserve"> </w:t>
      </w:r>
      <w:r>
        <w:rPr>
          <w:rStyle w:val="Brak"/>
          <w:rFonts w:ascii="Cambria" w:hAnsi="Cambria"/>
        </w:rPr>
        <w:t>Google</w:t>
      </w:r>
      <w:r>
        <w:rPr>
          <w:rStyle w:val="Brak"/>
          <w:rFonts w:ascii="Cambria" w:hAnsi="Cambria"/>
          <w:b/>
          <w:bCs/>
        </w:rPr>
        <w:t xml:space="preserve"> </w:t>
      </w:r>
      <w:r>
        <w:rPr>
          <w:rStyle w:val="Brak"/>
          <w:rFonts w:ascii="Cambria" w:hAnsi="Cambria"/>
        </w:rPr>
        <w:t>i inne przeglądarki (ponad 35%) a spadło znaczenie wcześniejszych wizyt do około 30% (podobnie jak przed pandemią);</w:t>
      </w:r>
    </w:p>
    <w:p w14:paraId="02B59F6D"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Na stałym poziomie około 18% utrzymują się rekomendacje znajomych a coraz więcej (choć na poziomie około 10%) korzysta z Google Maps i informacji na stronach OTA. Wzrasta inspirującą rola tour operatorów i biur podróży a także opinii w mediach społecznościowych i na blogach. </w:t>
      </w:r>
    </w:p>
    <w:p w14:paraId="0CB1C615"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Wykorzystanie sztucznej inteligencji do inspiracji i planowania podróży to źródło inspiracji dla 5% badanych, raczej młodszych wiekowo (10% osób w przedziale 16-24 lata);</w:t>
      </w:r>
    </w:p>
    <w:p w14:paraId="1B08D0ED"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Pomimo tego, że strony Narodowych Organizacji Turystycznych cieszą się mniejszym zainteresowaniem potencjalnych turystów, prowadzone w lokalnych językach działania Ośrodka witryny ZOPOT Sztokholm przyciągnęły niemal dwukrotnie więcej użytkowników niż w roku ubiegłym (728 tysięcy odsłon w porównaniu z 418 tysięcy w 2022 roku).</w:t>
      </w:r>
    </w:p>
    <w:p w14:paraId="3C43CE88" w14:textId="77777777" w:rsidR="00B62810" w:rsidRDefault="00B62810"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
          <w:rFonts w:ascii="Cambria" w:eastAsia="Cambria" w:hAnsi="Cambria" w:cs="Cambria"/>
        </w:rPr>
      </w:pPr>
    </w:p>
    <w:p w14:paraId="10571C13" w14:textId="77777777" w:rsidR="00B62810" w:rsidRDefault="007A0F62"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pPr>
      <w:r>
        <w:rPr>
          <w:rStyle w:val="Brak"/>
          <w:rFonts w:ascii="Cambria" w:hAnsi="Cambria"/>
        </w:rPr>
        <w:t>Przy wyborze środka transportu widać powrót do korzystania z usług linii</w:t>
      </w:r>
      <w:r>
        <w:rPr>
          <w:rStyle w:val="Brak"/>
          <w:rFonts w:ascii="Cambria" w:hAnsi="Cambria"/>
          <w:b/>
          <w:bCs/>
        </w:rPr>
        <w:t xml:space="preserve"> </w:t>
      </w:r>
      <w:r>
        <w:rPr>
          <w:rStyle w:val="Brak"/>
          <w:rFonts w:ascii="Cambria" w:hAnsi="Cambria"/>
        </w:rPr>
        <w:t>lotniczych, szczególnie w turystyce zagranicznej (w krajowej przewaga leży po stronie samochodu). W porównaniu z 2019 rokiem liczba podróży zagranicznych z wykorzystaniem transportu kolejowego wzrosła z 1 mln do 1,33 mln, pomimo problemów z infrastrukturą i rezerwacją biletów. Wśród turystów korzystających z samochodów podczas podróży zagranicznych wzrasta zapotrzebowanie na punkty ładowania pojazdów elektrycznych - obecnie dysponuje takimi ponad 25% Norwegów, 13% Duńczyków, 12% Szwedów i 11% Finów.</w:t>
      </w:r>
    </w:p>
    <w:p w14:paraId="78DCCCD5" w14:textId="77777777" w:rsidR="00B62810" w:rsidRDefault="00B62810"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
          <w:rFonts w:ascii="Cambria" w:eastAsia="Cambria" w:hAnsi="Cambria" w:cs="Cambria"/>
        </w:rPr>
      </w:pPr>
    </w:p>
    <w:p w14:paraId="49AAEF9B" w14:textId="77777777" w:rsidR="00B62810" w:rsidRDefault="007A0F62"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A"/>
        </w:rPr>
      </w:pPr>
      <w:r>
        <w:rPr>
          <w:rStyle w:val="Brak"/>
          <w:rFonts w:ascii="Cambria" w:hAnsi="Cambria"/>
        </w:rPr>
        <w:t>Wiemy również więcej odnośnie zakwaterowania nordyckich turystów:</w:t>
      </w:r>
    </w:p>
    <w:p w14:paraId="3DB6DA43"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47% podczas wakacji nocowało w hotelach;</w:t>
      </w:r>
    </w:p>
    <w:p w14:paraId="2AE004B9"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Największy przyrost zanotowano wśród hoteli dwu- i pięciogwiazdkowych (89% i 70%) podczas gdy największa liczba turystów skorzystała z 3-4-gwiazdkowych ofert;</w:t>
      </w:r>
    </w:p>
    <w:p w14:paraId="6F21F283"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Najwyżej oceniano hotele typu plażowego, następnie hotele rodzinne i te, które odzwierciedlają klimat otoczenia;</w:t>
      </w:r>
    </w:p>
    <w:p w14:paraId="04618C78"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Dla 40% ważna jest oferta kulinarna hotelu;</w:t>
      </w:r>
    </w:p>
    <w:p w14:paraId="2D569B41"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30% interesują rozwiązania ekologiczne stosowane przez hotel;</w:t>
      </w:r>
    </w:p>
    <w:p w14:paraId="6E8EE746"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31% Nordyków wybierze minimalistyczne, mniejsze lub prostsze hotele, zależnie od posiadanego budżetu;</w:t>
      </w:r>
    </w:p>
    <w:p w14:paraId="7B4B6063"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Hotele oferujące dodatkowe elementy rozrywki są atrakcyjne dla 27% podróżujących a te oferujące dodatkowe zajęcia aktywne dla 23%;</w:t>
      </w:r>
    </w:p>
    <w:p w14:paraId="15BDAED4"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Odwiedziny u znajomych i rodziny, po osiągnięciu szczytu podczas pandemii (18%) ustabilizowały się na poziomie przedpandemicznym (13%);</w:t>
      </w:r>
    </w:p>
    <w:p w14:paraId="28E8AE0B"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Zakwaterowanie w domkach letniskowych, wynajętych lub własnych, pomimo że procentowo zmalało w porównaniu z 2022 rokiem (o 8% i 6,1%) to nadal są na poziomie wyższym niż w 2019 roku;</w:t>
      </w:r>
    </w:p>
    <w:p w14:paraId="0169AA3A" w14:textId="77777777" w:rsidR="00B62810" w:rsidRDefault="007A0F62" w:rsidP="00511909">
      <w:pPr>
        <w:pStyle w:val="DomylneA"/>
        <w:numPr>
          <w:ilvl w:val="0"/>
          <w:numId w:val="5"/>
        </w:numPr>
        <w:spacing w:before="0" w:line="240" w:lineRule="auto"/>
        <w:jc w:val="both"/>
      </w:pPr>
      <w:r>
        <w:rPr>
          <w:rStyle w:val="Brak"/>
          <w:rFonts w:ascii="Cambria" w:hAnsi="Cambria"/>
        </w:rPr>
        <w:t xml:space="preserve"> Zakwaterowanie na campingach i we własnych lub wynajętych kamperach pozostało również na poziomie przedpandemicznym.</w:t>
      </w:r>
    </w:p>
    <w:p w14:paraId="4DB41876" w14:textId="77777777" w:rsidR="00B62810" w:rsidRDefault="00B62810" w:rsidP="00511909">
      <w:pPr>
        <w:pStyle w:val="WordDefaultStyleA"/>
        <w:rPr>
          <w:rStyle w:val="BrakA"/>
        </w:rPr>
      </w:pPr>
    </w:p>
    <w:p w14:paraId="111B32D9" w14:textId="77777777" w:rsidR="00B62810" w:rsidRDefault="007A0F62"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A"/>
        </w:rPr>
      </w:pPr>
      <w:r>
        <w:rPr>
          <w:rStyle w:val="Brak"/>
          <w:rFonts w:ascii="Cambria" w:hAnsi="Cambria"/>
        </w:rPr>
        <w:t xml:space="preserve">Zmniejszyła się liczba Nordyków wydających mniej niż 500 Euro na osobę, a zwiększyła ta inwestująca więcej niż 1000 Euro, co wynika nie ze specjalnej rozrzutności ale raczej z ogólnego wzrostu kosztów podróżowania. Stąd więcej osób (obecnie 50% versus 47% w 2022) oszczędza na wakacje. Szwedzi zaoszczędzili 1818 Euro/osobę, Duńczycy 1574 Euro, Norwegowie 1587 Euro a Finowie 1319 Euro na podróże w 2024 roku. Łącznie szacuje się kwotę oszczędności na 16,3 miliarda Euro. W 2024 roku około 24% badanych planuje wydać więcej na kulinaria, przeżycia, zakwaterowanie, krótkie wyjazdy weekendowe i na długie wakacje. 22% wyda więcej na podróże samolotem a 17% na bilety kolejowe. </w:t>
      </w:r>
    </w:p>
    <w:p w14:paraId="5B7A74D0" w14:textId="77777777" w:rsidR="00B62810" w:rsidRDefault="00B62810"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
          <w:rFonts w:ascii="Cambria" w:eastAsia="Cambria" w:hAnsi="Cambria" w:cs="Cambria"/>
        </w:rPr>
      </w:pPr>
    </w:p>
    <w:p w14:paraId="03E0426E" w14:textId="77777777" w:rsidR="00B62810" w:rsidRDefault="007A0F62"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A"/>
        </w:rPr>
      </w:pPr>
      <w:r>
        <w:rPr>
          <w:rStyle w:val="Brak"/>
          <w:rFonts w:ascii="Cambria" w:hAnsi="Cambria"/>
        </w:rPr>
        <w:t>Obecna sytuacja geopolityczna i ekonomiczna spowodowała także, że 38% Szwedów, 45% Duńczyków, 43% Norwegów i 44% Finów chce przeczekać zanim zdecydują o swoich planach wakacyjnych. Najbardziej dotknięci obecną sytuacją są rodziny z małymi dziećmi, ci o niższych dochodach, młodzież i osoby urodzone poza krajem zamieszkania. Ze względów ekonomicznych 12% zmniejszy liczbę wyjazdów, 7% wybierze tańszą destynację a 6% tańsze formy zakwaterowania. Jedynie 28% Szwedów i Norwegów, 36% Duńczyków i 32% Finów podróżować będzie jak zawsze.</w:t>
      </w:r>
    </w:p>
    <w:p w14:paraId="4D613AE5" w14:textId="77777777" w:rsidR="00B62810" w:rsidRDefault="00B62810"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
          <w:rFonts w:ascii="Cambria" w:eastAsia="Cambria" w:hAnsi="Cambria" w:cs="Cambria"/>
        </w:rPr>
      </w:pPr>
    </w:p>
    <w:p w14:paraId="261D413A" w14:textId="77777777" w:rsidR="00B62810" w:rsidRDefault="007A0F62"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A"/>
        </w:rPr>
      </w:pPr>
      <w:r>
        <w:rPr>
          <w:rStyle w:val="Brak"/>
          <w:rFonts w:ascii="Cambria" w:hAnsi="Cambria"/>
        </w:rPr>
        <w:t>Co będzie cieszyć się zainteresowaniem Nordyków w najbliższych latach?</w:t>
      </w:r>
    </w:p>
    <w:p w14:paraId="4B5C2656" w14:textId="77777777" w:rsidR="00B62810" w:rsidRDefault="00B62810" w:rsidP="00511909">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jc w:val="both"/>
        <w:rPr>
          <w:rStyle w:val="Brak"/>
          <w:rFonts w:ascii="Cambria" w:eastAsia="Cambria" w:hAnsi="Cambria" w:cs="Cambria"/>
        </w:rPr>
      </w:pPr>
    </w:p>
    <w:tbl>
      <w:tblPr>
        <w:tblStyle w:val="TableNormal"/>
        <w:tblW w:w="90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532"/>
        <w:gridCol w:w="4532"/>
      </w:tblGrid>
      <w:tr w:rsidR="00B62810" w:rsidRPr="00511909" w14:paraId="52B7381C" w14:textId="77777777">
        <w:trPr>
          <w:trHeight w:val="360"/>
          <w:tblHeader/>
        </w:trPr>
        <w:tc>
          <w:tcPr>
            <w:tcW w:w="9064" w:type="dxa"/>
            <w:gridSpan w:val="2"/>
            <w:tcBorders>
              <w:top w:val="single" w:sz="8" w:space="0" w:color="FFFFFF"/>
              <w:left w:val="single" w:sz="8" w:space="0" w:color="FFFFFF"/>
              <w:bottom w:val="single" w:sz="24" w:space="0" w:color="FFFFFF"/>
              <w:right w:val="single" w:sz="8" w:space="0" w:color="FFFFFF"/>
            </w:tcBorders>
            <w:shd w:val="clear" w:color="auto" w:fill="4F81BD"/>
            <w:tcMar>
              <w:top w:w="80" w:type="dxa"/>
              <w:left w:w="80" w:type="dxa"/>
              <w:bottom w:w="80" w:type="dxa"/>
              <w:right w:w="80" w:type="dxa"/>
            </w:tcMar>
          </w:tcPr>
          <w:p w14:paraId="29378A09" w14:textId="77777777" w:rsidR="00B62810" w:rsidRDefault="007A0F62">
            <w:pPr>
              <w:pStyle w:val="Tr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uppressAutoHyphens/>
              <w:jc w:val="center"/>
              <w:outlineLvl w:val="0"/>
            </w:pPr>
            <w:r>
              <w:rPr>
                <w:rStyle w:val="Brak"/>
                <w:rFonts w:ascii="Cambria" w:hAnsi="Cambria"/>
                <w:b/>
                <w:bCs/>
                <w:color w:val="FFFFFF"/>
                <w14:textOutline w14:w="12700" w14:cap="flat" w14:cmpd="sng" w14:algn="ctr">
                  <w14:noFill/>
                  <w14:prstDash w14:val="solid"/>
                  <w14:miter w14:lim="400000"/>
                </w14:textOutline>
              </w:rPr>
              <w:t>Formy wypoczynku o największym potencjale wzrostu w najbliższych 3 latach</w:t>
            </w:r>
          </w:p>
        </w:tc>
      </w:tr>
      <w:tr w:rsidR="00B62810" w14:paraId="27F686AE" w14:textId="77777777">
        <w:tblPrEx>
          <w:shd w:val="clear" w:color="auto" w:fill="CED7E7"/>
        </w:tblPrEx>
        <w:trPr>
          <w:trHeight w:val="400"/>
        </w:trPr>
        <w:tc>
          <w:tcPr>
            <w:tcW w:w="4532"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9F076E4"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lang w:val="fr-FR"/>
                <w14:textOutline w14:w="12700" w14:cap="flat" w14:cmpd="sng" w14:algn="ctr">
                  <w14:noFill/>
                  <w14:prstDash w14:val="solid"/>
                  <w14:miter w14:lim="400000"/>
                </w14:textOutline>
              </w:rPr>
              <w:t xml:space="preserve">1. </w:t>
            </w:r>
            <w:proofErr w:type="spellStart"/>
            <w:r>
              <w:rPr>
                <w:rStyle w:val="Brak"/>
                <w:rFonts w:ascii="Cambria" w:hAnsi="Cambria"/>
                <w:lang w:val="fr-FR"/>
                <w14:textOutline w14:w="12700" w14:cap="flat" w14:cmpd="sng" w14:algn="ctr">
                  <w14:noFill/>
                  <w14:prstDash w14:val="solid"/>
                  <w14:miter w14:lim="400000"/>
                </w14:textOutline>
              </w:rPr>
              <w:t>Interrail</w:t>
            </w:r>
            <w:proofErr w:type="spellEnd"/>
            <w:r>
              <w:rPr>
                <w:rStyle w:val="Brak"/>
                <w:rFonts w:ascii="Cambria" w:hAnsi="Cambria"/>
                <w:lang w:val="fr-FR"/>
                <w14:textOutline w14:w="12700" w14:cap="flat" w14:cmpd="sng" w14:algn="ctr">
                  <w14:noFill/>
                  <w14:prstDash w14:val="solid"/>
                  <w14:miter w14:lim="400000"/>
                </w14:textOutline>
              </w:rPr>
              <w:t xml:space="preserve"> (153%)</w:t>
            </w:r>
          </w:p>
        </w:tc>
        <w:tc>
          <w:tcPr>
            <w:tcW w:w="4531" w:type="dxa"/>
            <w:tcBorders>
              <w:top w:val="single" w:sz="24"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90DF82B"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6. Turystyka rowerowa (51%)</w:t>
            </w:r>
          </w:p>
        </w:tc>
      </w:tr>
      <w:tr w:rsidR="00B62810" w14:paraId="1A550619" w14:textId="77777777">
        <w:tblPrEx>
          <w:shd w:val="clear" w:color="auto" w:fill="CED7E7"/>
        </w:tblPrEx>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7997AD5"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 xml:space="preserve">2. Rejsy po Morzu </w:t>
            </w:r>
            <w:proofErr w:type="spellStart"/>
            <w:r>
              <w:rPr>
                <w:rStyle w:val="Brak"/>
                <w:rFonts w:ascii="Cambria" w:hAnsi="Cambria"/>
                <w14:textOutline w14:w="12700" w14:cap="flat" w14:cmpd="sng" w14:algn="ctr">
                  <w14:noFill/>
                  <w14:prstDash w14:val="solid"/>
                  <w14:miter w14:lim="400000"/>
                </w14:textOutline>
              </w:rPr>
              <w:t>Śr</w:t>
            </w:r>
            <w:r>
              <w:rPr>
                <w:rStyle w:val="Brak"/>
                <w:rFonts w:ascii="Cambria" w:hAnsi="Cambria"/>
                <w:lang w:val="es-ES_tradnl"/>
                <w14:textOutline w14:w="12700" w14:cap="flat" w14:cmpd="sng" w14:algn="ctr">
                  <w14:noFill/>
                  <w14:prstDash w14:val="solid"/>
                  <w14:miter w14:lim="400000"/>
                </w14:textOutline>
              </w:rPr>
              <w:t>ó</w:t>
            </w:r>
            <w:r>
              <w:rPr>
                <w:rStyle w:val="Brak"/>
                <w:rFonts w:ascii="Cambria" w:hAnsi="Cambria"/>
                <w14:textOutline w14:w="12700" w14:cap="flat" w14:cmpd="sng" w14:algn="ctr">
                  <w14:noFill/>
                  <w14:prstDash w14:val="solid"/>
                  <w14:miter w14:lim="400000"/>
                </w14:textOutline>
              </w:rPr>
              <w:t>dziemnym</w:t>
            </w:r>
            <w:proofErr w:type="spellEnd"/>
            <w:r>
              <w:rPr>
                <w:rStyle w:val="Brak"/>
                <w:rFonts w:ascii="Cambria" w:hAnsi="Cambria"/>
                <w14:textOutline w14:w="12700" w14:cap="flat" w14:cmpd="sng" w14:algn="ctr">
                  <w14:noFill/>
                  <w14:prstDash w14:val="solid"/>
                  <w14:miter w14:lim="400000"/>
                </w14:textOutline>
              </w:rPr>
              <w:t xml:space="preserve"> (97%)</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60A0B02"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7. Golf (36%)</w:t>
            </w:r>
          </w:p>
        </w:tc>
      </w:tr>
      <w:tr w:rsidR="00B62810" w14:paraId="387FAA45" w14:textId="77777777">
        <w:tblPrEx>
          <w:shd w:val="clear" w:color="auto" w:fill="CED7E7"/>
        </w:tblPrEx>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AD7B3AA"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3. Podróże kulinarne (65%)</w:t>
            </w:r>
          </w:p>
        </w:tc>
        <w:tc>
          <w:tcPr>
            <w:tcW w:w="453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0145EA4"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8. Wspinaczka (35%)</w:t>
            </w:r>
          </w:p>
        </w:tc>
      </w:tr>
      <w:tr w:rsidR="00B62810" w14:paraId="0EF34289" w14:textId="77777777">
        <w:tblPrEx>
          <w:shd w:val="clear" w:color="auto" w:fill="CED7E7"/>
        </w:tblPrEx>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4B3FA1A"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4. Rejsy - destynacje egzotyczne (57%)</w:t>
            </w:r>
          </w:p>
        </w:tc>
        <w:tc>
          <w:tcPr>
            <w:tcW w:w="453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78E7389"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9. Żeglarstwo (23%)</w:t>
            </w:r>
          </w:p>
        </w:tc>
      </w:tr>
      <w:tr w:rsidR="00B62810" w14:paraId="565F4CCE" w14:textId="77777777">
        <w:tblPrEx>
          <w:shd w:val="clear" w:color="auto" w:fill="CED7E7"/>
        </w:tblPrEx>
        <w:trPr>
          <w:trHeight w:val="340"/>
        </w:trPr>
        <w:tc>
          <w:tcPr>
            <w:tcW w:w="4532"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54C4D99"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5. Wyjazdy treningowe (52%)</w:t>
            </w:r>
          </w:p>
        </w:tc>
        <w:tc>
          <w:tcPr>
            <w:tcW w:w="453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B49B986" w14:textId="77777777" w:rsidR="00B62810" w:rsidRDefault="007A0F62">
            <w:pPr>
              <w:pStyle w:val="Tre"/>
              <w:tabs>
                <w:tab w:val="left" w:pos="560"/>
                <w:tab w:val="left" w:pos="1120"/>
                <w:tab w:val="left" w:pos="1680"/>
                <w:tab w:val="left" w:pos="2240"/>
                <w:tab w:val="left" w:pos="2800"/>
                <w:tab w:val="left" w:pos="3360"/>
                <w:tab w:val="left" w:pos="3920"/>
                <w:tab w:val="left" w:pos="4480"/>
              </w:tabs>
              <w:suppressAutoHyphens/>
              <w:outlineLvl w:val="0"/>
            </w:pPr>
            <w:r>
              <w:rPr>
                <w:rStyle w:val="Brak"/>
                <w:rFonts w:ascii="Cambria" w:hAnsi="Cambria"/>
                <w14:textOutline w14:w="12700" w14:cap="flat" w14:cmpd="sng" w14:algn="ctr">
                  <w14:noFill/>
                  <w14:prstDash w14:val="solid"/>
                  <w14:miter w14:lim="400000"/>
                </w14:textOutline>
              </w:rPr>
              <w:t>10. Wakacje zimowe (23%)</w:t>
            </w:r>
          </w:p>
        </w:tc>
      </w:tr>
    </w:tbl>
    <w:p w14:paraId="21124FE2" w14:textId="77777777" w:rsidR="00B62810" w:rsidRDefault="00B62810">
      <w:pPr>
        <w:pStyle w:val="Domylne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ind w:left="108" w:hanging="108"/>
        <w:rPr>
          <w:rStyle w:val="Brak"/>
          <w:rFonts w:ascii="Cambria" w:eastAsia="Cambria" w:hAnsi="Cambria" w:cs="Cambria"/>
        </w:rPr>
      </w:pPr>
    </w:p>
    <w:p w14:paraId="568F4ACC" w14:textId="77777777" w:rsidR="00B62810" w:rsidRDefault="00B62810">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rPr>
          <w:rStyle w:val="Brak"/>
          <w:rFonts w:ascii="Cambria" w:eastAsia="Cambria" w:hAnsi="Cambria" w:cs="Cambria"/>
        </w:rPr>
      </w:pPr>
    </w:p>
    <w:p w14:paraId="523548B4" w14:textId="77777777" w:rsidR="00B62810" w:rsidRDefault="00B62810">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rPr>
          <w:rStyle w:val="Brak"/>
          <w:rFonts w:ascii="Cambria" w:eastAsia="Cambria" w:hAnsi="Cambria" w:cs="Cambria"/>
        </w:rPr>
      </w:pPr>
    </w:p>
    <w:p w14:paraId="6132FE00" w14:textId="77777777" w:rsidR="00B62810" w:rsidRDefault="007A0F62">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rPr>
          <w:rStyle w:val="BrakA"/>
        </w:rPr>
      </w:pPr>
      <w:r>
        <w:rPr>
          <w:rStyle w:val="Brak"/>
          <w:rFonts w:ascii="Cambria" w:hAnsi="Cambria"/>
        </w:rPr>
        <w:t>Oczywiście niektóre wskazane tu wysoko produkty startują z bardzo niskich poziomów ale dla Polski jako destynacji turystycznej ważne są podróże kulinarne i wszelkie aktywne formy spędzania wypoczynku, do uprawiania których mamy doskonałe warunki.</w:t>
      </w:r>
    </w:p>
    <w:p w14:paraId="7C473351" w14:textId="77777777" w:rsidR="00B62810" w:rsidRDefault="007A0F62">
      <w:pPr>
        <w:pStyle w:val="Domylne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564"/>
        </w:tabs>
        <w:spacing w:before="0" w:line="240" w:lineRule="auto"/>
      </w:pPr>
      <w:r>
        <w:rPr>
          <w:rStyle w:val="BrakA"/>
          <w:rFonts w:ascii="Arial Unicode MS" w:hAnsi="Arial Unicode MS"/>
        </w:rPr>
        <w:br w:type="page"/>
      </w:r>
    </w:p>
    <w:p w14:paraId="5288AB27" w14:textId="77777777" w:rsidR="00B62810" w:rsidRDefault="00B62810">
      <w:pPr>
        <w:pStyle w:val="Default"/>
        <w:spacing w:before="0" w:line="240" w:lineRule="auto"/>
        <w:rPr>
          <w:rStyle w:val="Brak"/>
          <w:rFonts w:ascii="Cambria" w:eastAsia="Cambria" w:hAnsi="Cambria" w:cs="Cambria"/>
          <w:sz w:val="22"/>
          <w:szCs w:val="22"/>
        </w:rPr>
      </w:pPr>
    </w:p>
    <w:p w14:paraId="601AD367" w14:textId="77777777" w:rsidR="00B62810" w:rsidRDefault="007A0F62">
      <w:pPr>
        <w:pStyle w:val="BodyA"/>
        <w:keepNext/>
        <w:shd w:val="clear" w:color="auto" w:fill="548DD4"/>
        <w:spacing w:after="60" w:line="276" w:lineRule="auto"/>
        <w:ind w:right="142"/>
      </w:pPr>
      <w:bookmarkStart w:id="4" w:name="_headingh.1fob9te"/>
      <w:bookmarkStart w:id="5" w:name="_Toc2"/>
      <w:bookmarkEnd w:id="4"/>
      <w:r>
        <w:rPr>
          <w:rStyle w:val="Brak"/>
          <w:rFonts w:ascii="Cambria" w:hAnsi="Cambria"/>
          <w:b/>
          <w:bCs/>
          <w:color w:val="FFFFFF"/>
          <w:sz w:val="28"/>
          <w:szCs w:val="28"/>
        </w:rPr>
        <w:t>3. Przyjazdy do Polski</w:t>
      </w:r>
      <w:bookmarkEnd w:id="5"/>
    </w:p>
    <w:p w14:paraId="002D0744" w14:textId="77777777" w:rsidR="00B62810" w:rsidRDefault="00B62810">
      <w:pPr>
        <w:pStyle w:val="WordDefaultStyleA"/>
        <w:jc w:val="left"/>
        <w:rPr>
          <w:rStyle w:val="Brak"/>
        </w:rPr>
      </w:pPr>
    </w:p>
    <w:p w14:paraId="5A7C5DF2" w14:textId="77777777" w:rsidR="00B62810" w:rsidRDefault="007A0F62" w:rsidP="00511909">
      <w:pPr>
        <w:pStyle w:val="WordDefaultStyleA"/>
      </w:pPr>
      <w:r>
        <w:rPr>
          <w:rStyle w:val="Brak"/>
          <w:b/>
          <w:bCs/>
        </w:rPr>
        <w:t>Dane statystyczne przyjazdów do Polski z krajów działania ZOPOT Sztokholm</w:t>
      </w:r>
    </w:p>
    <w:p w14:paraId="702CE720" w14:textId="77777777" w:rsidR="00B62810" w:rsidRDefault="007A0F62" w:rsidP="00511909">
      <w:pPr>
        <w:pStyle w:val="WordDefaultStyleA"/>
      </w:pPr>
      <w:r>
        <w:rPr>
          <w:rStyle w:val="BrakA"/>
        </w:rPr>
        <w:t>Niestety, jak wskazuje wcześniejszy rozdział, mamy ograniczony dostęp do lokalnych danych statystycznych, które pozwoliłyby określić wielkość ruchu przyjazdowego do Polski z krajów działania. Podobny problem dotyczy oczywiście struktury tego ruchu.</w:t>
      </w:r>
    </w:p>
    <w:p w14:paraId="05ABB987" w14:textId="77777777" w:rsidR="00B62810" w:rsidRDefault="00B62810" w:rsidP="00511909">
      <w:pPr>
        <w:pStyle w:val="WordDefaultStyleA"/>
        <w:rPr>
          <w:rStyle w:val="BrakA"/>
          <w:sz w:val="22"/>
          <w:szCs w:val="22"/>
        </w:rPr>
      </w:pPr>
    </w:p>
    <w:p w14:paraId="27F9301C" w14:textId="77777777" w:rsidR="00B62810" w:rsidRDefault="007A0F62" w:rsidP="00511909">
      <w:pPr>
        <w:pStyle w:val="WordDefaultStyleA"/>
        <w:rPr>
          <w:rStyle w:val="BrakA"/>
        </w:rPr>
      </w:pPr>
      <w:r>
        <w:rPr>
          <w:rStyle w:val="BrakA"/>
        </w:rPr>
        <w:t xml:space="preserve">Dlatego przedstawiamy następujące dane opracowane przez Ministerstwo Sportu i Turystyki. Zaprezentowane dane pochodzą z badania realizowanego na granicach Polski wśród turystów i odwiedzających jednodniowych opuszczających nasz kraj. </w:t>
      </w:r>
    </w:p>
    <w:p w14:paraId="72393A83" w14:textId="77777777" w:rsidR="00511909" w:rsidRDefault="00511909" w:rsidP="00511909">
      <w:pPr>
        <w:pStyle w:val="WordDefaultStyleA"/>
        <w:rPr>
          <w:rStyle w:val="BrakA"/>
        </w:rPr>
      </w:pPr>
    </w:p>
    <w:p w14:paraId="01B22FAC" w14:textId="77777777" w:rsidR="00511909" w:rsidRDefault="00511909" w:rsidP="00511909">
      <w:pPr>
        <w:pStyle w:val="WordDefaultStyleA"/>
      </w:pPr>
    </w:p>
    <w:tbl>
      <w:tblPr>
        <w:tblStyle w:val="TableNormal"/>
        <w:tblW w:w="906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38"/>
        <w:gridCol w:w="1345"/>
        <w:gridCol w:w="1258"/>
        <w:gridCol w:w="1365"/>
        <w:gridCol w:w="1248"/>
        <w:gridCol w:w="1324"/>
        <w:gridCol w:w="1286"/>
      </w:tblGrid>
      <w:tr w:rsidR="00B62810" w:rsidRPr="00511909" w14:paraId="04B22746" w14:textId="77777777" w:rsidTr="00511909">
        <w:trPr>
          <w:trHeight w:val="531"/>
        </w:trPr>
        <w:tc>
          <w:tcPr>
            <w:tcW w:w="1237" w:type="dxa"/>
            <w:vMerge w:val="restart"/>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DB76144" w14:textId="77777777" w:rsidR="00B62810" w:rsidRDefault="007A0F62">
            <w:pPr>
              <w:pStyle w:val="BodyA"/>
              <w:widowControl w:val="0"/>
              <w:spacing w:after="160" w:line="259" w:lineRule="auto"/>
            </w:pPr>
            <w:r>
              <w:rPr>
                <w:rStyle w:val="Brak"/>
                <w:rFonts w:ascii="Cambria" w:hAnsi="Cambria"/>
                <w:u w:color="000000"/>
              </w:rPr>
              <w:t>Kraj</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F1B1EEF" w14:textId="77777777" w:rsidR="00B62810" w:rsidRDefault="007A0F62">
            <w:pPr>
              <w:pStyle w:val="Tre"/>
              <w:widowControl w:val="0"/>
              <w:jc w:val="center"/>
              <w:outlineLvl w:val="0"/>
            </w:pPr>
            <w:r>
              <w:rPr>
                <w:rStyle w:val="Brak"/>
                <w:rFonts w:ascii="Cambria" w:hAnsi="Cambria"/>
                <w14:textOutline w14:w="12700" w14:cap="flat" w14:cmpd="sng" w14:algn="ctr">
                  <w14:noFill/>
                  <w14:prstDash w14:val="solid"/>
                  <w14:miter w14:lim="400000"/>
                </w14:textOutline>
              </w:rPr>
              <w:t>Liczba przyjazd</w:t>
            </w:r>
            <w:proofErr w:type="spellStart"/>
            <w:r>
              <w:rPr>
                <w:rStyle w:val="Brak"/>
                <w:rFonts w:ascii="Cambria" w:hAnsi="Cambria"/>
                <w:lang w:val="es-ES_tradnl"/>
                <w14:textOutline w14:w="12700" w14:cap="flat" w14:cmpd="sng" w14:algn="ctr">
                  <w14:noFill/>
                  <w14:prstDash w14:val="solid"/>
                  <w14:miter w14:lim="400000"/>
                </w14:textOutline>
              </w:rPr>
              <w:t>ó</w:t>
            </w:r>
            <w:proofErr w:type="spellEnd"/>
            <w:r>
              <w:rPr>
                <w:rStyle w:val="Brak"/>
                <w:rFonts w:ascii="Cambria" w:hAnsi="Cambria"/>
                <w14:textOutline w14:w="12700" w14:cap="flat" w14:cmpd="sng" w14:algn="ctr">
                  <w14:noFill/>
                  <w14:prstDash w14:val="solid"/>
                  <w14:miter w14:lim="400000"/>
                </w14:textOutline>
              </w:rPr>
              <w:t>w (w tys.)</w:t>
            </w:r>
          </w:p>
        </w:tc>
        <w:tc>
          <w:tcPr>
            <w:tcW w:w="3858" w:type="dxa"/>
            <w:gridSpan w:val="3"/>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E7E7743" w14:textId="77777777" w:rsidR="00B62810" w:rsidRDefault="007A0F62">
            <w:pPr>
              <w:pStyle w:val="Tre"/>
              <w:widowControl w:val="0"/>
              <w:jc w:val="center"/>
              <w:outlineLvl w:val="0"/>
            </w:pPr>
            <w:r>
              <w:rPr>
                <w:rStyle w:val="Brak"/>
                <w:rFonts w:ascii="Cambria" w:hAnsi="Cambria"/>
                <w14:textOutline w14:w="12700" w14:cap="flat" w14:cmpd="sng" w14:algn="ctr">
                  <w14:noFill/>
                  <w14:prstDash w14:val="solid"/>
                  <w14:miter w14:lim="400000"/>
                </w14:textOutline>
              </w:rPr>
              <w:t>Liczba przyjazd</w:t>
            </w:r>
            <w:proofErr w:type="spellStart"/>
            <w:r>
              <w:rPr>
                <w:rStyle w:val="Brak"/>
                <w:rFonts w:ascii="Cambria" w:hAnsi="Cambria"/>
                <w:lang w:val="es-ES_tradnl"/>
                <w14:textOutline w14:w="12700" w14:cap="flat" w14:cmpd="sng" w14:algn="ctr">
                  <w14:noFill/>
                  <w14:prstDash w14:val="solid"/>
                  <w14:miter w14:lim="400000"/>
                </w14:textOutline>
              </w:rPr>
              <w:t>ó</w:t>
            </w:r>
            <w:proofErr w:type="spellEnd"/>
            <w:r>
              <w:rPr>
                <w:rStyle w:val="Brak"/>
                <w:rFonts w:ascii="Cambria" w:hAnsi="Cambria"/>
                <w14:textOutline w14:w="12700" w14:cap="flat" w14:cmpd="sng" w14:algn="ctr">
                  <w14:noFill/>
                  <w14:prstDash w14:val="solid"/>
                  <w14:miter w14:lim="400000"/>
                </w14:textOutline>
              </w:rPr>
              <w:t>w turystycznych (w tys.)</w:t>
            </w:r>
          </w:p>
        </w:tc>
      </w:tr>
      <w:tr w:rsidR="00B62810" w14:paraId="27A38F30" w14:textId="77777777" w:rsidTr="00511909">
        <w:trPr>
          <w:trHeight w:val="229"/>
        </w:trPr>
        <w:tc>
          <w:tcPr>
            <w:tcW w:w="1237" w:type="dxa"/>
            <w:vMerge/>
            <w:tcBorders>
              <w:top w:val="single" w:sz="4" w:space="0" w:color="000000"/>
              <w:left w:val="single" w:sz="4" w:space="0" w:color="000000"/>
              <w:bottom w:val="single" w:sz="4" w:space="0" w:color="000000"/>
              <w:right w:val="single" w:sz="4" w:space="0" w:color="000000"/>
            </w:tcBorders>
            <w:shd w:val="clear" w:color="auto" w:fill="BDD6EE"/>
          </w:tcPr>
          <w:p w14:paraId="41996B7E" w14:textId="77777777" w:rsidR="00B62810" w:rsidRPr="00511909" w:rsidRDefault="00B62810">
            <w:pPr>
              <w:rPr>
                <w:lang w:val="pl-PL"/>
              </w:rPr>
            </w:pPr>
          </w:p>
        </w:tc>
        <w:tc>
          <w:tcPr>
            <w:tcW w:w="1345"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35BD8A0E" w14:textId="77777777" w:rsidR="00B62810" w:rsidRDefault="007A0F62">
            <w:pPr>
              <w:pStyle w:val="BodyA"/>
              <w:widowControl w:val="0"/>
              <w:jc w:val="center"/>
            </w:pPr>
            <w:r>
              <w:rPr>
                <w:rStyle w:val="Brak"/>
                <w:rFonts w:ascii="Cambria" w:hAnsi="Cambria"/>
                <w:u w:color="000000"/>
              </w:rPr>
              <w:t>2022</w:t>
            </w:r>
          </w:p>
        </w:tc>
        <w:tc>
          <w:tcPr>
            <w:tcW w:w="125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4366074A" w14:textId="77777777" w:rsidR="00B62810" w:rsidRDefault="007A0F62">
            <w:pPr>
              <w:pStyle w:val="BodyA"/>
              <w:widowControl w:val="0"/>
              <w:jc w:val="center"/>
            </w:pPr>
            <w:r>
              <w:rPr>
                <w:rStyle w:val="Brak"/>
                <w:rFonts w:ascii="Cambria" w:hAnsi="Cambria"/>
                <w:u w:color="000000"/>
              </w:rPr>
              <w:t>2023</w:t>
            </w:r>
          </w:p>
        </w:tc>
        <w:tc>
          <w:tcPr>
            <w:tcW w:w="1364"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3C32714F" w14:textId="77777777" w:rsidR="00B62810" w:rsidRDefault="007A0F62">
            <w:pPr>
              <w:pStyle w:val="BodyA"/>
              <w:widowControl w:val="0"/>
              <w:jc w:val="center"/>
            </w:pPr>
            <w:r>
              <w:rPr>
                <w:rStyle w:val="Brak"/>
                <w:rFonts w:ascii="Cambria" w:hAnsi="Cambria"/>
                <w:u w:color="000000"/>
              </w:rPr>
              <w:t>Zmiana</w:t>
            </w:r>
          </w:p>
        </w:tc>
        <w:tc>
          <w:tcPr>
            <w:tcW w:w="124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7631ABDA" w14:textId="77777777" w:rsidR="00B62810" w:rsidRDefault="007A0F62">
            <w:pPr>
              <w:pStyle w:val="TreA"/>
              <w:widowControl w:val="0"/>
              <w:jc w:val="center"/>
            </w:pPr>
            <w:r>
              <w:rPr>
                <w:rStyle w:val="Brak"/>
                <w:rFonts w:ascii="Cambria" w:hAnsi="Cambria"/>
                <w:u w:color="FFFFFF"/>
              </w:rPr>
              <w:t>2022</w:t>
            </w:r>
          </w:p>
        </w:tc>
        <w:tc>
          <w:tcPr>
            <w:tcW w:w="1324"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A9AC753" w14:textId="77777777" w:rsidR="00B62810" w:rsidRDefault="007A0F62">
            <w:pPr>
              <w:pStyle w:val="BodyA"/>
              <w:widowControl w:val="0"/>
              <w:jc w:val="center"/>
            </w:pPr>
            <w:r>
              <w:rPr>
                <w:rStyle w:val="Brak"/>
                <w:rFonts w:ascii="Cambria" w:hAnsi="Cambria"/>
                <w:u w:color="000000"/>
              </w:rPr>
              <w:t>2023</w:t>
            </w:r>
          </w:p>
        </w:tc>
        <w:tc>
          <w:tcPr>
            <w:tcW w:w="1285" w:type="dxa"/>
            <w:tcBorders>
              <w:top w:val="single" w:sz="4" w:space="0" w:color="000000"/>
              <w:left w:val="single" w:sz="4" w:space="0" w:color="000000"/>
              <w:bottom w:val="single" w:sz="4" w:space="0" w:color="000000"/>
              <w:right w:val="nil"/>
            </w:tcBorders>
            <w:shd w:val="clear" w:color="auto" w:fill="BDD6EE"/>
            <w:tcMar>
              <w:top w:w="80" w:type="dxa"/>
              <w:left w:w="80" w:type="dxa"/>
              <w:bottom w:w="80" w:type="dxa"/>
              <w:right w:w="80" w:type="dxa"/>
            </w:tcMar>
          </w:tcPr>
          <w:p w14:paraId="4EDDA22E" w14:textId="77777777" w:rsidR="00B62810" w:rsidRDefault="007A0F62">
            <w:pPr>
              <w:pStyle w:val="Body"/>
              <w:widowControl w:val="0"/>
              <w:jc w:val="center"/>
            </w:pPr>
            <w:proofErr w:type="spellStart"/>
            <w:r>
              <w:rPr>
                <w:rStyle w:val="Brak"/>
                <w:rFonts w:ascii="Cambria" w:hAnsi="Cambria"/>
              </w:rPr>
              <w:t>Zmiana</w:t>
            </w:r>
            <w:proofErr w:type="spellEnd"/>
          </w:p>
        </w:tc>
      </w:tr>
      <w:tr w:rsidR="00B62810" w14:paraId="21EE4FBE" w14:textId="77777777" w:rsidTr="00511909">
        <w:trPr>
          <w:trHeight w:val="269"/>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B8DB0F" w14:textId="77777777" w:rsidR="00B62810" w:rsidRDefault="007A0F62">
            <w:pPr>
              <w:pStyle w:val="Body"/>
              <w:widowControl w:val="0"/>
              <w:jc w:val="both"/>
            </w:pPr>
            <w:r>
              <w:rPr>
                <w:rStyle w:val="Brak"/>
                <w:rFonts w:ascii="Cambria" w:hAnsi="Cambria"/>
              </w:rPr>
              <w:t>Dania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B8B83F" w14:textId="77777777" w:rsidR="00B62810" w:rsidRDefault="007A0F62">
            <w:pPr>
              <w:pStyle w:val="Body"/>
              <w:widowControl w:val="0"/>
              <w:jc w:val="center"/>
            </w:pPr>
            <w:r>
              <w:rPr>
                <w:rStyle w:val="Brak"/>
                <w:rFonts w:ascii="Cambria" w:hAnsi="Cambria"/>
              </w:rPr>
              <w:t>189,1</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813503" w14:textId="77777777" w:rsidR="00B62810" w:rsidRDefault="007A0F62">
            <w:pPr>
              <w:pStyle w:val="Body"/>
              <w:widowControl w:val="0"/>
              <w:jc w:val="center"/>
            </w:pPr>
            <w:r>
              <w:rPr>
                <w:rStyle w:val="Brak"/>
                <w:rFonts w:ascii="Cambria" w:hAnsi="Cambria"/>
              </w:rPr>
              <w:t>223,7</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DB6BC4" w14:textId="77777777" w:rsidR="00B62810" w:rsidRDefault="007A0F62">
            <w:pPr>
              <w:pStyle w:val="Body"/>
              <w:widowControl w:val="0"/>
              <w:jc w:val="center"/>
            </w:pPr>
            <w:r>
              <w:rPr>
                <w:rStyle w:val="Brak"/>
                <w:rFonts w:ascii="Cambria" w:hAnsi="Cambria"/>
              </w:rPr>
              <w:t>18,3%</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1F01B" w14:textId="77777777" w:rsidR="00B62810" w:rsidRDefault="007A0F62">
            <w:pPr>
              <w:pStyle w:val="TreA"/>
              <w:widowControl w:val="0"/>
              <w:jc w:val="center"/>
            </w:pPr>
            <w:r>
              <w:rPr>
                <w:rStyle w:val="Brak"/>
                <w:rFonts w:ascii="Cambria" w:hAnsi="Cambria"/>
              </w:rPr>
              <w:t>169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51499" w14:textId="77777777" w:rsidR="00B62810" w:rsidRDefault="007A0F62">
            <w:pPr>
              <w:pStyle w:val="Body"/>
              <w:widowControl w:val="0"/>
              <w:jc w:val="center"/>
            </w:pPr>
            <w:r>
              <w:rPr>
                <w:rStyle w:val="Brak"/>
                <w:rFonts w:ascii="Cambria" w:hAnsi="Cambria"/>
              </w:rPr>
              <w:t>202</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9414C9" w14:textId="77777777" w:rsidR="00B62810" w:rsidRDefault="007A0F62">
            <w:pPr>
              <w:pStyle w:val="Body"/>
              <w:widowControl w:val="0"/>
              <w:jc w:val="center"/>
            </w:pPr>
            <w:r>
              <w:rPr>
                <w:rStyle w:val="Brak"/>
                <w:rFonts w:ascii="Cambria" w:hAnsi="Cambria"/>
              </w:rPr>
              <w:t>19,7%</w:t>
            </w:r>
          </w:p>
        </w:tc>
      </w:tr>
      <w:tr w:rsidR="00B62810" w14:paraId="1026DFD7" w14:textId="77777777" w:rsidTr="00511909">
        <w:trPr>
          <w:trHeight w:val="247"/>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5F501" w14:textId="77777777" w:rsidR="00B62810" w:rsidRDefault="007A0F62">
            <w:pPr>
              <w:pStyle w:val="Body"/>
              <w:widowControl w:val="0"/>
              <w:jc w:val="both"/>
            </w:pPr>
            <w:r>
              <w:rPr>
                <w:rStyle w:val="Brak"/>
                <w:rFonts w:ascii="Cambria" w:hAnsi="Cambria"/>
                <w:lang w:val="nl-NL"/>
              </w:rPr>
              <w:t>Finlandia</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44FE0F" w14:textId="77777777" w:rsidR="00B62810" w:rsidRDefault="007A0F62">
            <w:pPr>
              <w:pStyle w:val="Body"/>
              <w:widowControl w:val="0"/>
              <w:jc w:val="center"/>
            </w:pPr>
            <w:r>
              <w:rPr>
                <w:rStyle w:val="Brak"/>
                <w:rFonts w:ascii="Cambria" w:hAnsi="Cambria"/>
              </w:rPr>
              <w:t>99,5</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D33EFE" w14:textId="77777777" w:rsidR="00B62810" w:rsidRDefault="007A0F62">
            <w:pPr>
              <w:pStyle w:val="Body"/>
              <w:widowControl w:val="0"/>
              <w:jc w:val="center"/>
            </w:pPr>
            <w:r>
              <w:rPr>
                <w:rStyle w:val="Brak"/>
                <w:rFonts w:ascii="Cambria" w:hAnsi="Cambria"/>
              </w:rPr>
              <w:t>120,1</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4834B" w14:textId="77777777" w:rsidR="00B62810" w:rsidRDefault="007A0F62">
            <w:pPr>
              <w:pStyle w:val="Body"/>
              <w:widowControl w:val="0"/>
              <w:jc w:val="center"/>
            </w:pPr>
            <w:r>
              <w:rPr>
                <w:rStyle w:val="Brak"/>
                <w:rFonts w:ascii="Cambria" w:hAnsi="Cambria"/>
              </w:rPr>
              <w:t>20,7%</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DB91A" w14:textId="77777777" w:rsidR="00B62810" w:rsidRDefault="007A0F62">
            <w:pPr>
              <w:pStyle w:val="TreA"/>
              <w:widowControl w:val="0"/>
              <w:jc w:val="center"/>
            </w:pPr>
            <w:r>
              <w:rPr>
                <w:rStyle w:val="Brak"/>
                <w:rFonts w:ascii="Cambria" w:hAnsi="Cambria"/>
              </w:rPr>
              <w:t>86</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42E0A8" w14:textId="77777777" w:rsidR="00B62810" w:rsidRDefault="007A0F62">
            <w:pPr>
              <w:pStyle w:val="Body"/>
              <w:widowControl w:val="0"/>
              <w:jc w:val="center"/>
            </w:pPr>
            <w:r>
              <w:rPr>
                <w:rStyle w:val="Brak"/>
                <w:rFonts w:ascii="Cambria" w:hAnsi="Cambria"/>
              </w:rPr>
              <w:t>105</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B14813" w14:textId="77777777" w:rsidR="00B62810" w:rsidRDefault="007A0F62">
            <w:pPr>
              <w:pStyle w:val="Body"/>
              <w:widowControl w:val="0"/>
              <w:jc w:val="center"/>
            </w:pPr>
            <w:r>
              <w:rPr>
                <w:rStyle w:val="Brak"/>
                <w:rFonts w:ascii="Cambria" w:hAnsi="Cambria"/>
              </w:rPr>
              <w:t>22,5%</w:t>
            </w:r>
          </w:p>
        </w:tc>
      </w:tr>
      <w:tr w:rsidR="00B62810" w14:paraId="65C5BE89" w14:textId="77777777" w:rsidTr="00511909">
        <w:trPr>
          <w:trHeight w:val="353"/>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5F3E7" w14:textId="77777777" w:rsidR="00B62810" w:rsidRDefault="007A0F62">
            <w:pPr>
              <w:pStyle w:val="Body"/>
              <w:widowControl w:val="0"/>
              <w:jc w:val="both"/>
            </w:pPr>
            <w:proofErr w:type="spellStart"/>
            <w:r>
              <w:rPr>
                <w:rStyle w:val="Brak"/>
                <w:rFonts w:ascii="Cambria" w:hAnsi="Cambria"/>
              </w:rPr>
              <w:t>Norwegia</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AB29E" w14:textId="77777777" w:rsidR="00B62810" w:rsidRDefault="007A0F62">
            <w:pPr>
              <w:pStyle w:val="Body"/>
              <w:widowControl w:val="0"/>
              <w:jc w:val="center"/>
            </w:pPr>
            <w:r>
              <w:rPr>
                <w:rStyle w:val="Brak"/>
                <w:rFonts w:ascii="Cambria" w:hAnsi="Cambria"/>
              </w:rPr>
              <w:t>310,3</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33F1A" w14:textId="77777777" w:rsidR="00B62810" w:rsidRDefault="007A0F62">
            <w:pPr>
              <w:pStyle w:val="Body"/>
              <w:widowControl w:val="0"/>
              <w:jc w:val="center"/>
            </w:pPr>
            <w:r>
              <w:rPr>
                <w:rStyle w:val="Brak"/>
                <w:rFonts w:ascii="Cambria" w:hAnsi="Cambria"/>
              </w:rPr>
              <w:t>358,4</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888AE8" w14:textId="77777777" w:rsidR="00B62810" w:rsidRDefault="007A0F62">
            <w:pPr>
              <w:pStyle w:val="Body"/>
              <w:widowControl w:val="0"/>
              <w:jc w:val="center"/>
            </w:pPr>
            <w:r>
              <w:rPr>
                <w:rStyle w:val="Brak"/>
                <w:rFonts w:ascii="Cambria" w:hAnsi="Cambria"/>
              </w:rPr>
              <w:t>15,5%</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5C48C" w14:textId="77777777" w:rsidR="00B62810" w:rsidRDefault="007A0F62">
            <w:pPr>
              <w:pStyle w:val="TreA"/>
              <w:widowControl w:val="0"/>
              <w:jc w:val="center"/>
            </w:pPr>
            <w:r>
              <w:rPr>
                <w:rStyle w:val="Brak"/>
                <w:rFonts w:ascii="Cambria" w:hAnsi="Cambria"/>
              </w:rPr>
              <w:t>119</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91CF4E" w14:textId="77777777" w:rsidR="00B62810" w:rsidRDefault="007A0F62">
            <w:pPr>
              <w:pStyle w:val="Body"/>
              <w:widowControl w:val="0"/>
              <w:jc w:val="center"/>
            </w:pPr>
            <w:r>
              <w:rPr>
                <w:rStyle w:val="Brak"/>
                <w:rFonts w:ascii="Cambria" w:hAnsi="Cambria"/>
              </w:rPr>
              <w:t>146</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CAAFC3" w14:textId="77777777" w:rsidR="00B62810" w:rsidRDefault="007A0F62">
            <w:pPr>
              <w:pStyle w:val="Body"/>
              <w:widowControl w:val="0"/>
              <w:jc w:val="center"/>
            </w:pPr>
            <w:r>
              <w:rPr>
                <w:rStyle w:val="Brak"/>
                <w:rFonts w:ascii="Cambria" w:hAnsi="Cambria"/>
              </w:rPr>
              <w:t>22,6%</w:t>
            </w:r>
          </w:p>
        </w:tc>
      </w:tr>
      <w:tr w:rsidR="00B62810" w14:paraId="34940354" w14:textId="77777777" w:rsidTr="00511909">
        <w:trPr>
          <w:trHeight w:val="403"/>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2B72FF" w14:textId="77777777" w:rsidR="00B62810" w:rsidRDefault="007A0F62">
            <w:pPr>
              <w:pStyle w:val="Body"/>
              <w:widowControl w:val="0"/>
              <w:jc w:val="both"/>
            </w:pPr>
            <w:proofErr w:type="spellStart"/>
            <w:r>
              <w:rPr>
                <w:rStyle w:val="Brak"/>
                <w:rFonts w:ascii="Cambria" w:hAnsi="Cambria"/>
              </w:rPr>
              <w:t>Szwecja</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789B0" w14:textId="77777777" w:rsidR="00B62810" w:rsidRDefault="007A0F62">
            <w:pPr>
              <w:pStyle w:val="Body"/>
              <w:widowControl w:val="0"/>
              <w:jc w:val="center"/>
            </w:pPr>
            <w:r>
              <w:rPr>
                <w:rStyle w:val="Brak"/>
                <w:rFonts w:ascii="Cambria" w:hAnsi="Cambria"/>
              </w:rPr>
              <w:t>294,0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99F1E4" w14:textId="77777777" w:rsidR="00B62810" w:rsidRDefault="007A0F62">
            <w:pPr>
              <w:pStyle w:val="Body"/>
              <w:widowControl w:val="0"/>
              <w:jc w:val="center"/>
            </w:pPr>
            <w:r>
              <w:rPr>
                <w:rStyle w:val="Brak"/>
                <w:rFonts w:ascii="Cambria" w:hAnsi="Cambria"/>
              </w:rPr>
              <w:t>355,9</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18036" w14:textId="77777777" w:rsidR="00B62810" w:rsidRDefault="007A0F62">
            <w:pPr>
              <w:pStyle w:val="Body"/>
              <w:widowControl w:val="0"/>
              <w:jc w:val="center"/>
            </w:pPr>
            <w:r>
              <w:rPr>
                <w:rStyle w:val="Brak"/>
                <w:rFonts w:ascii="Cambria" w:hAnsi="Cambria"/>
              </w:rPr>
              <w:t>21,1%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005CED" w14:textId="77777777" w:rsidR="00B62810" w:rsidRDefault="007A0F62">
            <w:pPr>
              <w:pStyle w:val="TreA"/>
              <w:widowControl w:val="0"/>
              <w:jc w:val="center"/>
            </w:pPr>
            <w:r>
              <w:rPr>
                <w:rStyle w:val="Brak"/>
                <w:rFonts w:ascii="Cambria" w:hAnsi="Cambria"/>
              </w:rPr>
              <w:t>247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F9CA9C" w14:textId="77777777" w:rsidR="00B62810" w:rsidRDefault="007A0F62">
            <w:pPr>
              <w:pStyle w:val="Body"/>
              <w:widowControl w:val="0"/>
              <w:jc w:val="center"/>
            </w:pPr>
            <w:r>
              <w:rPr>
                <w:rStyle w:val="Brak"/>
                <w:rFonts w:ascii="Cambria" w:hAnsi="Cambria"/>
              </w:rPr>
              <w:t>302</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DEACB1" w14:textId="77777777" w:rsidR="00B62810" w:rsidRDefault="007A0F62">
            <w:pPr>
              <w:pStyle w:val="Body"/>
              <w:widowControl w:val="0"/>
              <w:jc w:val="center"/>
            </w:pPr>
            <w:r>
              <w:rPr>
                <w:rStyle w:val="Brak"/>
                <w:rFonts w:ascii="Cambria" w:hAnsi="Cambria"/>
              </w:rPr>
              <w:t>22,2%</w:t>
            </w:r>
          </w:p>
        </w:tc>
      </w:tr>
      <w:tr w:rsidR="00B62810" w14:paraId="0133692E" w14:textId="77777777" w:rsidTr="00511909">
        <w:trPr>
          <w:trHeight w:val="255"/>
        </w:trPr>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507F44" w14:textId="77777777" w:rsidR="00B62810" w:rsidRDefault="007A0F62">
            <w:pPr>
              <w:pStyle w:val="BodyA"/>
              <w:widowControl w:val="0"/>
              <w:jc w:val="both"/>
            </w:pPr>
            <w:r>
              <w:rPr>
                <w:rStyle w:val="Brak"/>
                <w:rFonts w:ascii="Cambria" w:hAnsi="Cambria"/>
                <w:b/>
                <w:bCs/>
                <w:u w:color="000000"/>
                <w:lang w:val="de-DE"/>
              </w:rPr>
              <w:t>RAZEM</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F0DB4" w14:textId="77777777" w:rsidR="00B62810" w:rsidRDefault="007A0F62">
            <w:pPr>
              <w:pStyle w:val="Tre"/>
              <w:widowControl w:val="0"/>
              <w:jc w:val="center"/>
            </w:pPr>
            <w:r>
              <w:rPr>
                <w:rStyle w:val="Brak"/>
                <w:rFonts w:ascii="Cambria" w:hAnsi="Cambria"/>
                <w:b/>
                <w:bCs/>
                <w:u w:color="000000"/>
                <w14:textOutline w14:w="12700" w14:cap="flat" w14:cmpd="sng" w14:algn="ctr">
                  <w14:noFill/>
                  <w14:prstDash w14:val="solid"/>
                  <w14:miter w14:lim="400000"/>
                </w14:textOutline>
              </w:rPr>
              <w:t>892,9</w:t>
            </w:r>
          </w:p>
        </w:tc>
        <w:tc>
          <w:tcPr>
            <w:tcW w:w="1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D5622" w14:textId="77777777" w:rsidR="00B62810" w:rsidRDefault="007A0F62">
            <w:pPr>
              <w:pStyle w:val="Body"/>
              <w:widowControl w:val="0"/>
              <w:jc w:val="center"/>
            </w:pPr>
            <w:r>
              <w:rPr>
                <w:rStyle w:val="Brak"/>
                <w:rFonts w:ascii="Cambria" w:hAnsi="Cambria"/>
                <w:b/>
                <w:bCs/>
                <w:lang w:val="de-DE"/>
              </w:rPr>
              <w:t>1 058,1</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4E227B" w14:textId="77777777" w:rsidR="00B62810" w:rsidRDefault="007A0F62">
            <w:pPr>
              <w:pStyle w:val="Body"/>
              <w:widowControl w:val="0"/>
              <w:jc w:val="center"/>
            </w:pPr>
            <w:r>
              <w:rPr>
                <w:rStyle w:val="Brak"/>
                <w:rFonts w:ascii="Cambria" w:hAnsi="Cambria"/>
                <w:b/>
                <w:bCs/>
              </w:rPr>
              <w:t>18,9%</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8D9123" w14:textId="77777777" w:rsidR="00B62810" w:rsidRDefault="007A0F62">
            <w:pPr>
              <w:pStyle w:val="TreA"/>
              <w:widowControl w:val="0"/>
              <w:jc w:val="center"/>
            </w:pPr>
            <w:r>
              <w:rPr>
                <w:rStyle w:val="Brak"/>
                <w:rFonts w:ascii="Cambria" w:hAnsi="Cambria"/>
                <w:b/>
                <w:bCs/>
              </w:rPr>
              <w:t>621</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05DE5C" w14:textId="77777777" w:rsidR="00B62810" w:rsidRDefault="007A0F62">
            <w:pPr>
              <w:pStyle w:val="Body"/>
              <w:widowControl w:val="0"/>
              <w:jc w:val="center"/>
            </w:pPr>
            <w:r>
              <w:rPr>
                <w:rStyle w:val="Brak"/>
                <w:rFonts w:ascii="Cambria" w:hAnsi="Cambria"/>
                <w:b/>
                <w:bCs/>
              </w:rPr>
              <w:t>755</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01F73" w14:textId="77777777" w:rsidR="00B62810" w:rsidRDefault="007A0F62">
            <w:pPr>
              <w:pStyle w:val="Body"/>
              <w:widowControl w:val="0"/>
              <w:jc w:val="center"/>
            </w:pPr>
            <w:r>
              <w:rPr>
                <w:rStyle w:val="Brak"/>
                <w:rFonts w:ascii="Cambria" w:hAnsi="Cambria"/>
                <w:b/>
                <w:bCs/>
              </w:rPr>
              <w:t>21,75%</w:t>
            </w:r>
          </w:p>
        </w:tc>
      </w:tr>
    </w:tbl>
    <w:p w14:paraId="4484AF00" w14:textId="77777777" w:rsidR="00B62810" w:rsidRDefault="00B62810">
      <w:pPr>
        <w:pStyle w:val="WordDefaultStyleA"/>
        <w:jc w:val="left"/>
        <w:rPr>
          <w:rStyle w:val="BrakA"/>
        </w:rPr>
      </w:pPr>
    </w:p>
    <w:p w14:paraId="313A6263" w14:textId="77777777" w:rsidR="00B62810" w:rsidRDefault="007A0F62" w:rsidP="00511909">
      <w:pPr>
        <w:pStyle w:val="WordDefaultStyleA"/>
      </w:pPr>
      <w:r>
        <w:rPr>
          <w:rStyle w:val="BrakA"/>
        </w:rPr>
        <w:t xml:space="preserve">Powyższe dane wskazują na zdecydowaną i raczej równomierną odbudowę ruchu turystycznego do Polski. Niestety ze względu na brak tego typu badań w okresie przedpandemicznym dane nie dają możliwości odniesienia się do wyników za 2019 rok – najlepszy dotąd jeśli chodzi o natężenie ruchu turystycznego z krajów nordyckich do Polski. </w:t>
      </w:r>
    </w:p>
    <w:p w14:paraId="27DD47C8" w14:textId="77777777" w:rsidR="00B62810" w:rsidRDefault="00B62810" w:rsidP="00511909">
      <w:pPr>
        <w:pStyle w:val="WordDefaultStyleA"/>
        <w:rPr>
          <w:rStyle w:val="BrakA"/>
        </w:rPr>
      </w:pPr>
    </w:p>
    <w:p w14:paraId="6F1798FF" w14:textId="77777777" w:rsidR="00B62810" w:rsidRDefault="007A0F62" w:rsidP="00511909">
      <w:pPr>
        <w:pStyle w:val="WordDefaultStyleA"/>
      </w:pPr>
      <w:r>
        <w:rPr>
          <w:rStyle w:val="BrakA"/>
        </w:rPr>
        <w:t>Stąd chciałabym pokazać jak to wygląda na przykładzie wyników analizy obiektów noclegowych zrealizowanych przez Główny Urząd Statystyczny w dwóch ujęciach:</w:t>
      </w:r>
    </w:p>
    <w:p w14:paraId="77556A91" w14:textId="77777777" w:rsidR="00B62810" w:rsidRDefault="00B62810" w:rsidP="00511909">
      <w:pPr>
        <w:pStyle w:val="WordDefaultStyleA"/>
        <w:rPr>
          <w:rStyle w:val="BrakA"/>
          <w:sz w:val="22"/>
          <w:szCs w:val="22"/>
        </w:rPr>
      </w:pPr>
    </w:p>
    <w:p w14:paraId="22E6274D" w14:textId="77777777" w:rsidR="00B62810" w:rsidRDefault="00B62810">
      <w:pPr>
        <w:pStyle w:val="WordDefaultStyleA"/>
        <w:jc w:val="left"/>
        <w:rPr>
          <w:rStyle w:val="BrakA"/>
          <w:sz w:val="22"/>
          <w:szCs w:val="22"/>
        </w:rPr>
      </w:pPr>
    </w:p>
    <w:p w14:paraId="727E7ABA" w14:textId="77777777" w:rsidR="00B62810" w:rsidRDefault="00B62810">
      <w:pPr>
        <w:pStyle w:val="WordDefaultStyleA"/>
        <w:jc w:val="left"/>
        <w:rPr>
          <w:rStyle w:val="BrakA"/>
          <w:sz w:val="22"/>
          <w:szCs w:val="22"/>
        </w:rPr>
      </w:pPr>
    </w:p>
    <w:p w14:paraId="793735E4" w14:textId="77777777" w:rsidR="00B62810" w:rsidRDefault="00B62810">
      <w:pPr>
        <w:pStyle w:val="WordDefaultStyleA"/>
        <w:jc w:val="left"/>
        <w:rPr>
          <w:rStyle w:val="BrakA"/>
          <w:sz w:val="22"/>
          <w:szCs w:val="22"/>
        </w:rPr>
      </w:pPr>
    </w:p>
    <w:p w14:paraId="561B63A3" w14:textId="77777777" w:rsidR="00B62810" w:rsidRDefault="00B62810">
      <w:pPr>
        <w:pStyle w:val="WordDefaultStyleA"/>
        <w:jc w:val="left"/>
        <w:rPr>
          <w:rStyle w:val="BrakA"/>
          <w:sz w:val="22"/>
          <w:szCs w:val="22"/>
        </w:rPr>
      </w:pPr>
    </w:p>
    <w:p w14:paraId="73CA4F22" w14:textId="77777777" w:rsidR="00B62810" w:rsidRDefault="00B62810">
      <w:pPr>
        <w:pStyle w:val="WordDefaultStyleA"/>
        <w:jc w:val="left"/>
        <w:rPr>
          <w:rStyle w:val="BrakA"/>
          <w:sz w:val="22"/>
          <w:szCs w:val="22"/>
        </w:rPr>
      </w:pPr>
    </w:p>
    <w:p w14:paraId="334AD346" w14:textId="77777777" w:rsidR="00B62810" w:rsidRDefault="007A0F62">
      <w:pPr>
        <w:pStyle w:val="WordDefaultStyleA"/>
        <w:jc w:val="left"/>
      </w:pPr>
      <w:r>
        <w:rPr>
          <w:rStyle w:val="BrakA"/>
          <w:rFonts w:ascii="Arial Unicode MS" w:hAnsi="Arial Unicode MS"/>
        </w:rPr>
        <w:br w:type="page"/>
      </w:r>
    </w:p>
    <w:tbl>
      <w:tblPr>
        <w:tblStyle w:val="TableNormal"/>
        <w:tblW w:w="86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76"/>
        <w:gridCol w:w="871"/>
        <w:gridCol w:w="1358"/>
        <w:gridCol w:w="1427"/>
        <w:gridCol w:w="1011"/>
        <w:gridCol w:w="1397"/>
        <w:gridCol w:w="1376"/>
      </w:tblGrid>
      <w:tr w:rsidR="00B62810" w14:paraId="5259E70A" w14:textId="77777777" w:rsidTr="00511909">
        <w:trPr>
          <w:trHeight w:val="471"/>
        </w:trPr>
        <w:tc>
          <w:tcPr>
            <w:tcW w:w="1176" w:type="dxa"/>
            <w:vMerge w:val="restart"/>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5897EB16" w14:textId="77777777" w:rsidR="00B62810" w:rsidRDefault="007A0F62">
            <w:pPr>
              <w:pStyle w:val="BodyA"/>
              <w:pageBreakBefore/>
              <w:widowControl w:val="0"/>
              <w:spacing w:after="160" w:line="259" w:lineRule="auto"/>
            </w:pPr>
            <w:r>
              <w:rPr>
                <w:rStyle w:val="Brak"/>
                <w:rFonts w:ascii="Cambria" w:hAnsi="Cambria"/>
                <w:u w:color="000000"/>
              </w:rPr>
              <w:t>Kraj</w:t>
            </w:r>
          </w:p>
        </w:tc>
        <w:tc>
          <w:tcPr>
            <w:tcW w:w="3656" w:type="dxa"/>
            <w:gridSpan w:val="3"/>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57228FD8" w14:textId="77777777" w:rsidR="00B62810" w:rsidRDefault="007A0F62">
            <w:pPr>
              <w:pStyle w:val="Tre"/>
              <w:widowControl w:val="0"/>
              <w:jc w:val="center"/>
              <w:outlineLvl w:val="0"/>
            </w:pPr>
            <w:r>
              <w:rPr>
                <w:rStyle w:val="Brak"/>
                <w:rFonts w:ascii="Cambria" w:hAnsi="Cambria"/>
                <w14:textOutline w14:w="12700" w14:cap="flat" w14:cmpd="sng" w14:algn="ctr">
                  <w14:noFill/>
                  <w14:prstDash w14:val="solid"/>
                  <w14:miter w14:lim="400000"/>
                </w14:textOutline>
              </w:rPr>
              <w:t>Liczba korzystających z bazy noclegowej (w tys.)</w:t>
            </w:r>
          </w:p>
        </w:tc>
        <w:tc>
          <w:tcPr>
            <w:tcW w:w="3784" w:type="dxa"/>
            <w:gridSpan w:val="3"/>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3F53E0A" w14:textId="77777777" w:rsidR="00B62810" w:rsidRDefault="007A0F62">
            <w:pPr>
              <w:pStyle w:val="Tre"/>
              <w:widowControl w:val="0"/>
              <w:jc w:val="center"/>
              <w:outlineLvl w:val="0"/>
            </w:pPr>
            <w:r>
              <w:rPr>
                <w:rStyle w:val="Brak"/>
                <w:rFonts w:ascii="Cambria" w:hAnsi="Cambria"/>
                <w14:textOutline w14:w="12700" w14:cap="flat" w14:cmpd="sng" w14:algn="ctr">
                  <w14:noFill/>
                  <w14:prstDash w14:val="solid"/>
                  <w14:miter w14:lim="400000"/>
                </w14:textOutline>
              </w:rPr>
              <w:t>Liczba nocleg</w:t>
            </w:r>
            <w:proofErr w:type="spellStart"/>
            <w:r>
              <w:rPr>
                <w:rStyle w:val="Brak"/>
                <w:rFonts w:ascii="Cambria" w:hAnsi="Cambria"/>
                <w:lang w:val="es-ES_tradnl"/>
                <w14:textOutline w14:w="12700" w14:cap="flat" w14:cmpd="sng" w14:algn="ctr">
                  <w14:noFill/>
                  <w14:prstDash w14:val="solid"/>
                  <w14:miter w14:lim="400000"/>
                </w14:textOutline>
              </w:rPr>
              <w:t>ó</w:t>
            </w:r>
            <w:proofErr w:type="spellEnd"/>
            <w:r>
              <w:rPr>
                <w:rStyle w:val="Brak"/>
                <w:rFonts w:ascii="Cambria" w:hAnsi="Cambria"/>
                <w14:textOutline w14:w="12700" w14:cap="flat" w14:cmpd="sng" w14:algn="ctr">
                  <w14:noFill/>
                  <w14:prstDash w14:val="solid"/>
                  <w14:miter w14:lim="400000"/>
                </w14:textOutline>
              </w:rPr>
              <w:t>w (w tys.)</w:t>
            </w:r>
          </w:p>
        </w:tc>
      </w:tr>
      <w:tr w:rsidR="00B62810" w14:paraId="0876E87A" w14:textId="77777777">
        <w:trPr>
          <w:trHeight w:val="850"/>
        </w:trPr>
        <w:tc>
          <w:tcPr>
            <w:tcW w:w="1176" w:type="dxa"/>
            <w:vMerge/>
            <w:tcBorders>
              <w:top w:val="single" w:sz="4" w:space="0" w:color="000000"/>
              <w:left w:val="single" w:sz="4" w:space="0" w:color="000000"/>
              <w:bottom w:val="single" w:sz="4" w:space="0" w:color="000000"/>
              <w:right w:val="single" w:sz="4" w:space="0" w:color="000000"/>
            </w:tcBorders>
            <w:shd w:val="clear" w:color="auto" w:fill="BDD6EE"/>
          </w:tcPr>
          <w:p w14:paraId="5E014991" w14:textId="77777777" w:rsidR="00B62810" w:rsidRDefault="00B62810"/>
        </w:tc>
        <w:tc>
          <w:tcPr>
            <w:tcW w:w="871"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72701ED5" w14:textId="77777777" w:rsidR="00B62810" w:rsidRDefault="007A0F62">
            <w:pPr>
              <w:pStyle w:val="BodyA"/>
              <w:widowControl w:val="0"/>
              <w:jc w:val="center"/>
            </w:pPr>
            <w:r>
              <w:rPr>
                <w:rStyle w:val="Brak"/>
                <w:rFonts w:ascii="Cambria" w:hAnsi="Cambria"/>
                <w:u w:color="000000"/>
              </w:rPr>
              <w:t>2023</w:t>
            </w:r>
          </w:p>
        </w:tc>
        <w:tc>
          <w:tcPr>
            <w:tcW w:w="1358"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525BC571" w14:textId="77777777" w:rsidR="00B62810" w:rsidRDefault="007A0F62">
            <w:pPr>
              <w:pStyle w:val="BodyA"/>
              <w:widowControl w:val="0"/>
              <w:jc w:val="center"/>
            </w:pPr>
            <w:r>
              <w:rPr>
                <w:rStyle w:val="Brak"/>
                <w:rFonts w:ascii="Cambria" w:hAnsi="Cambria"/>
                <w:u w:color="000000"/>
              </w:rPr>
              <w:t>Zmiana 2023/2022 w %</w:t>
            </w:r>
          </w:p>
        </w:tc>
        <w:tc>
          <w:tcPr>
            <w:tcW w:w="1425"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25B267D4" w14:textId="77777777" w:rsidR="00B62810" w:rsidRDefault="007A0F62">
            <w:pPr>
              <w:pStyle w:val="BodyA"/>
              <w:widowControl w:val="0"/>
              <w:jc w:val="center"/>
            </w:pPr>
            <w:r>
              <w:rPr>
                <w:rStyle w:val="Brak"/>
                <w:rFonts w:ascii="Cambria" w:hAnsi="Cambria"/>
                <w:u w:color="000000"/>
              </w:rPr>
              <w:t>Zmiana 2023/2019 w %</w:t>
            </w:r>
          </w:p>
        </w:tc>
        <w:tc>
          <w:tcPr>
            <w:tcW w:w="1011"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4845F972" w14:textId="77777777" w:rsidR="00B62810" w:rsidRDefault="007A0F62">
            <w:pPr>
              <w:pStyle w:val="BodyA"/>
              <w:widowControl w:val="0"/>
              <w:jc w:val="center"/>
            </w:pPr>
            <w:r>
              <w:rPr>
                <w:rStyle w:val="Brak"/>
                <w:rFonts w:ascii="Cambria" w:hAnsi="Cambria"/>
                <w:u w:color="000000"/>
              </w:rPr>
              <w:t>2023</w:t>
            </w:r>
          </w:p>
        </w:tc>
        <w:tc>
          <w:tcPr>
            <w:tcW w:w="1397"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3F7F648E" w14:textId="77777777" w:rsidR="00B62810" w:rsidRDefault="007A0F62">
            <w:pPr>
              <w:pStyle w:val="BodyA"/>
              <w:widowControl w:val="0"/>
              <w:jc w:val="center"/>
            </w:pPr>
            <w:r>
              <w:rPr>
                <w:rStyle w:val="Brak"/>
                <w:rFonts w:ascii="Cambria" w:hAnsi="Cambria"/>
                <w:u w:color="000000"/>
              </w:rPr>
              <w:t>Zmiana 2023/2022 w %</w:t>
            </w:r>
          </w:p>
        </w:tc>
        <w:tc>
          <w:tcPr>
            <w:tcW w:w="1375"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54162C5" w14:textId="77777777" w:rsidR="00B62810" w:rsidRDefault="007A0F62">
            <w:pPr>
              <w:pStyle w:val="BodyA"/>
              <w:widowControl w:val="0"/>
              <w:jc w:val="center"/>
            </w:pPr>
            <w:r>
              <w:rPr>
                <w:rStyle w:val="Brak"/>
                <w:rFonts w:ascii="Cambria" w:hAnsi="Cambria"/>
                <w:u w:color="000000"/>
              </w:rPr>
              <w:t>Zmiana 2023/2019 w %</w:t>
            </w:r>
          </w:p>
        </w:tc>
      </w:tr>
      <w:tr w:rsidR="00B62810" w14:paraId="71BED0CC" w14:textId="77777777" w:rsidTr="00511909">
        <w:trPr>
          <w:trHeight w:val="99"/>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C139AE" w14:textId="77777777" w:rsidR="00B62810" w:rsidRDefault="007A0F62">
            <w:pPr>
              <w:pStyle w:val="Body"/>
              <w:widowControl w:val="0"/>
              <w:jc w:val="both"/>
            </w:pPr>
            <w:r>
              <w:rPr>
                <w:rStyle w:val="Brak"/>
                <w:rFonts w:ascii="Cambria" w:hAnsi="Cambria"/>
              </w:rPr>
              <w:t>Dania</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CEAC3E" w14:textId="77777777" w:rsidR="00B62810" w:rsidRDefault="007A0F62">
            <w:pPr>
              <w:pStyle w:val="Body"/>
              <w:widowControl w:val="0"/>
              <w:jc w:val="center"/>
            </w:pPr>
            <w:r>
              <w:rPr>
                <w:rStyle w:val="Brak"/>
                <w:rFonts w:ascii="Cambria" w:hAnsi="Cambria"/>
              </w:rPr>
              <w:t>100,1</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28CCE" w14:textId="77777777" w:rsidR="00B62810" w:rsidRDefault="007A0F62">
            <w:pPr>
              <w:pStyle w:val="Body"/>
              <w:widowControl w:val="0"/>
              <w:jc w:val="center"/>
            </w:pPr>
            <w:r>
              <w:rPr>
                <w:rStyle w:val="Brak"/>
                <w:rFonts w:ascii="Cambria" w:hAnsi="Cambria"/>
              </w:rPr>
              <w:t>19,7</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D0A336" w14:textId="77777777" w:rsidR="00B62810" w:rsidRDefault="007A0F62">
            <w:pPr>
              <w:pStyle w:val="Body"/>
              <w:widowControl w:val="0"/>
              <w:jc w:val="center"/>
            </w:pPr>
            <w:r>
              <w:rPr>
                <w:rStyle w:val="Brak"/>
                <w:rFonts w:ascii="Cambria" w:hAnsi="Cambria"/>
              </w:rPr>
              <w:t>-1,6</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122982" w14:textId="77777777" w:rsidR="00B62810" w:rsidRDefault="007A0F62">
            <w:pPr>
              <w:pStyle w:val="TreA"/>
              <w:widowControl w:val="0"/>
              <w:jc w:val="center"/>
            </w:pPr>
            <w:r>
              <w:rPr>
                <w:rStyle w:val="Brak"/>
                <w:rFonts w:ascii="Cambria" w:hAnsi="Cambria"/>
              </w:rPr>
              <w:t>241,3</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CF205D" w14:textId="77777777" w:rsidR="00B62810" w:rsidRDefault="007A0F62">
            <w:pPr>
              <w:pStyle w:val="Body"/>
              <w:widowControl w:val="0"/>
              <w:jc w:val="center"/>
            </w:pPr>
            <w:r>
              <w:rPr>
                <w:rStyle w:val="Brak"/>
                <w:rFonts w:ascii="Cambria" w:hAnsi="Cambria"/>
              </w:rPr>
              <w:t>22,2</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97C35" w14:textId="77777777" w:rsidR="00B62810" w:rsidRDefault="007A0F62">
            <w:pPr>
              <w:pStyle w:val="Body"/>
              <w:widowControl w:val="0"/>
              <w:jc w:val="center"/>
            </w:pPr>
            <w:r>
              <w:rPr>
                <w:rStyle w:val="Brak"/>
                <w:rFonts w:ascii="Cambria" w:hAnsi="Cambria"/>
              </w:rPr>
              <w:t>-1,7</w:t>
            </w:r>
          </w:p>
        </w:tc>
      </w:tr>
      <w:tr w:rsidR="00B62810" w14:paraId="26DEB404" w14:textId="77777777" w:rsidTr="00511909">
        <w:trPr>
          <w:trHeight w:val="361"/>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5D1041" w14:textId="77777777" w:rsidR="00B62810" w:rsidRDefault="007A0F62">
            <w:pPr>
              <w:pStyle w:val="Body"/>
              <w:widowControl w:val="0"/>
              <w:jc w:val="both"/>
            </w:pPr>
            <w:r>
              <w:rPr>
                <w:rStyle w:val="Brak"/>
                <w:rFonts w:ascii="Cambria" w:hAnsi="Cambria"/>
                <w:lang w:val="nl-NL"/>
              </w:rPr>
              <w:t>Finlandia</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5680D" w14:textId="77777777" w:rsidR="00B62810" w:rsidRDefault="007A0F62">
            <w:pPr>
              <w:pStyle w:val="Body"/>
              <w:widowControl w:val="0"/>
              <w:jc w:val="center"/>
            </w:pPr>
            <w:r>
              <w:rPr>
                <w:rStyle w:val="Brak"/>
                <w:rFonts w:ascii="Cambria" w:hAnsi="Cambria"/>
              </w:rPr>
              <w:t>59,8</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B59DC6" w14:textId="77777777" w:rsidR="00B62810" w:rsidRDefault="007A0F62">
            <w:pPr>
              <w:pStyle w:val="Body"/>
              <w:widowControl w:val="0"/>
              <w:jc w:val="center"/>
            </w:pPr>
            <w:r>
              <w:rPr>
                <w:rStyle w:val="Brak"/>
                <w:rFonts w:ascii="Cambria" w:hAnsi="Cambria"/>
              </w:rPr>
              <w:t>22,1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72BA14" w14:textId="77777777" w:rsidR="00B62810" w:rsidRDefault="007A0F62">
            <w:pPr>
              <w:pStyle w:val="Body"/>
              <w:widowControl w:val="0"/>
              <w:jc w:val="center"/>
            </w:pPr>
            <w:r>
              <w:rPr>
                <w:rStyle w:val="Brak"/>
                <w:rFonts w:ascii="Cambria" w:hAnsi="Cambria"/>
              </w:rPr>
              <w:t>-34,8</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596290" w14:textId="77777777" w:rsidR="00B62810" w:rsidRDefault="007A0F62">
            <w:pPr>
              <w:pStyle w:val="TreA"/>
              <w:widowControl w:val="0"/>
              <w:jc w:val="center"/>
            </w:pPr>
            <w:r>
              <w:rPr>
                <w:rStyle w:val="Brak"/>
                <w:rFonts w:ascii="Cambria" w:hAnsi="Cambria"/>
              </w:rPr>
              <w:t>125,1</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70B39" w14:textId="77777777" w:rsidR="00B62810" w:rsidRDefault="007A0F62">
            <w:pPr>
              <w:pStyle w:val="Body"/>
              <w:widowControl w:val="0"/>
              <w:jc w:val="center"/>
            </w:pPr>
            <w:r>
              <w:rPr>
                <w:rStyle w:val="Brak"/>
                <w:rFonts w:ascii="Cambria" w:hAnsi="Cambria"/>
              </w:rPr>
              <w:t>24,0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66C89" w14:textId="77777777" w:rsidR="00B62810" w:rsidRDefault="007A0F62">
            <w:pPr>
              <w:pStyle w:val="Body"/>
              <w:widowControl w:val="0"/>
              <w:jc w:val="center"/>
            </w:pPr>
            <w:r>
              <w:rPr>
                <w:rStyle w:val="Brak"/>
                <w:rFonts w:ascii="Cambria" w:hAnsi="Cambria"/>
              </w:rPr>
              <w:t>-41,8</w:t>
            </w:r>
          </w:p>
        </w:tc>
      </w:tr>
      <w:tr w:rsidR="00B62810" w14:paraId="58C3E915" w14:textId="77777777" w:rsidTr="00511909">
        <w:trPr>
          <w:trHeight w:val="383"/>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CB4AD" w14:textId="77777777" w:rsidR="00B62810" w:rsidRDefault="007A0F62">
            <w:pPr>
              <w:pStyle w:val="Body"/>
              <w:widowControl w:val="0"/>
              <w:jc w:val="both"/>
            </w:pPr>
            <w:proofErr w:type="spellStart"/>
            <w:r>
              <w:rPr>
                <w:rStyle w:val="Brak"/>
                <w:rFonts w:ascii="Cambria" w:hAnsi="Cambria"/>
              </w:rPr>
              <w:t>Norwegia</w:t>
            </w:r>
            <w:proofErr w:type="spellEnd"/>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9C25AB" w14:textId="77777777" w:rsidR="00B62810" w:rsidRDefault="007A0F62">
            <w:pPr>
              <w:pStyle w:val="Body"/>
              <w:widowControl w:val="0"/>
              <w:jc w:val="center"/>
            </w:pPr>
            <w:r>
              <w:rPr>
                <w:rStyle w:val="Brak"/>
                <w:rFonts w:ascii="Cambria" w:hAnsi="Cambria"/>
              </w:rPr>
              <w:t>140,8</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5DDC47" w14:textId="77777777" w:rsidR="00B62810" w:rsidRDefault="007A0F62">
            <w:pPr>
              <w:pStyle w:val="Body"/>
              <w:widowControl w:val="0"/>
              <w:jc w:val="center"/>
            </w:pPr>
            <w:r>
              <w:rPr>
                <w:rStyle w:val="Brak"/>
                <w:rFonts w:ascii="Cambria" w:hAnsi="Cambria"/>
              </w:rPr>
              <w:t>32,2</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D84A63" w14:textId="77777777" w:rsidR="00B62810" w:rsidRDefault="007A0F62">
            <w:pPr>
              <w:pStyle w:val="Body"/>
              <w:widowControl w:val="0"/>
              <w:jc w:val="center"/>
            </w:pPr>
            <w:r>
              <w:rPr>
                <w:rStyle w:val="Brak"/>
                <w:rFonts w:ascii="Cambria" w:hAnsi="Cambria"/>
              </w:rPr>
              <w:t>-24,1</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AA9374" w14:textId="77777777" w:rsidR="00B62810" w:rsidRDefault="007A0F62">
            <w:pPr>
              <w:pStyle w:val="TreA"/>
              <w:widowControl w:val="0"/>
              <w:jc w:val="center"/>
            </w:pPr>
            <w:r>
              <w:rPr>
                <w:rStyle w:val="Brak"/>
                <w:rFonts w:ascii="Cambria" w:hAnsi="Cambria"/>
              </w:rPr>
              <w:t>347,4</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E79AAA" w14:textId="77777777" w:rsidR="00B62810" w:rsidRDefault="007A0F62">
            <w:pPr>
              <w:pStyle w:val="Body"/>
              <w:widowControl w:val="0"/>
              <w:jc w:val="center"/>
            </w:pPr>
            <w:r>
              <w:rPr>
                <w:rStyle w:val="Brak"/>
                <w:rFonts w:ascii="Cambria" w:hAnsi="Cambria"/>
              </w:rPr>
              <w:t>33,6</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53736" w14:textId="77777777" w:rsidR="00B62810" w:rsidRDefault="007A0F62">
            <w:pPr>
              <w:pStyle w:val="Body"/>
              <w:widowControl w:val="0"/>
              <w:jc w:val="center"/>
            </w:pPr>
            <w:r>
              <w:rPr>
                <w:rStyle w:val="Brak"/>
                <w:rFonts w:ascii="Cambria" w:hAnsi="Cambria"/>
              </w:rPr>
              <w:t>-27,7</w:t>
            </w:r>
          </w:p>
        </w:tc>
      </w:tr>
      <w:tr w:rsidR="00B62810" w14:paraId="357D6CF9" w14:textId="77777777" w:rsidTr="00511909">
        <w:trPr>
          <w:trHeight w:val="121"/>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D1BBFE" w14:textId="77777777" w:rsidR="00B62810" w:rsidRDefault="007A0F62">
            <w:pPr>
              <w:pStyle w:val="Body"/>
              <w:widowControl w:val="0"/>
              <w:jc w:val="both"/>
            </w:pPr>
            <w:proofErr w:type="spellStart"/>
            <w:r>
              <w:rPr>
                <w:rStyle w:val="Brak"/>
                <w:rFonts w:ascii="Cambria" w:hAnsi="Cambria"/>
              </w:rPr>
              <w:t>Szwecja</w:t>
            </w:r>
            <w:proofErr w:type="spellEnd"/>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25F8A7" w14:textId="77777777" w:rsidR="00B62810" w:rsidRDefault="007A0F62">
            <w:pPr>
              <w:pStyle w:val="Body"/>
              <w:widowControl w:val="0"/>
              <w:jc w:val="center"/>
            </w:pPr>
            <w:r>
              <w:rPr>
                <w:rStyle w:val="Brak"/>
                <w:rFonts w:ascii="Cambria" w:hAnsi="Cambria"/>
              </w:rPr>
              <w:t>145,2</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128C2" w14:textId="77777777" w:rsidR="00B62810" w:rsidRDefault="007A0F62">
            <w:pPr>
              <w:pStyle w:val="Body"/>
              <w:widowControl w:val="0"/>
              <w:jc w:val="center"/>
            </w:pPr>
            <w:r>
              <w:rPr>
                <w:rStyle w:val="Brak"/>
                <w:rFonts w:ascii="Cambria" w:hAnsi="Cambria"/>
              </w:rPr>
              <w:t>35,8</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4591B1" w14:textId="77777777" w:rsidR="00B62810" w:rsidRDefault="007A0F62">
            <w:pPr>
              <w:pStyle w:val="Body"/>
              <w:widowControl w:val="0"/>
              <w:jc w:val="center"/>
            </w:pPr>
            <w:r>
              <w:rPr>
                <w:rStyle w:val="Brak"/>
                <w:rFonts w:ascii="Cambria" w:hAnsi="Cambria"/>
              </w:rPr>
              <w:t>-24,1</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F2E67B" w14:textId="77777777" w:rsidR="00B62810" w:rsidRDefault="007A0F62">
            <w:pPr>
              <w:pStyle w:val="TreA"/>
              <w:widowControl w:val="0"/>
              <w:jc w:val="center"/>
            </w:pPr>
            <w:r>
              <w:rPr>
                <w:rStyle w:val="Brak"/>
                <w:rFonts w:ascii="Cambria" w:hAnsi="Cambria"/>
              </w:rPr>
              <w:t>319,4</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80B27B" w14:textId="77777777" w:rsidR="00B62810" w:rsidRDefault="007A0F62">
            <w:pPr>
              <w:pStyle w:val="Body"/>
              <w:widowControl w:val="0"/>
              <w:jc w:val="center"/>
            </w:pPr>
            <w:r>
              <w:rPr>
                <w:rStyle w:val="Brak"/>
                <w:rFonts w:ascii="Cambria" w:hAnsi="Cambria"/>
              </w:rPr>
              <w:t>36,5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C198F" w14:textId="77777777" w:rsidR="00B62810" w:rsidRDefault="007A0F62">
            <w:pPr>
              <w:pStyle w:val="Body"/>
              <w:widowControl w:val="0"/>
              <w:jc w:val="center"/>
            </w:pPr>
            <w:r>
              <w:rPr>
                <w:rStyle w:val="Brak"/>
                <w:rFonts w:ascii="Cambria" w:hAnsi="Cambria"/>
              </w:rPr>
              <w:t>-28,2</w:t>
            </w:r>
          </w:p>
        </w:tc>
      </w:tr>
      <w:tr w:rsidR="00B62810" w14:paraId="1EC873CC" w14:textId="77777777" w:rsidTr="00511909">
        <w:trPr>
          <w:trHeight w:val="227"/>
        </w:trPr>
        <w:tc>
          <w:tcPr>
            <w:tcW w:w="11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CA671F" w14:textId="77777777" w:rsidR="00B62810" w:rsidRDefault="007A0F62">
            <w:pPr>
              <w:pStyle w:val="BodyA"/>
              <w:widowControl w:val="0"/>
              <w:jc w:val="both"/>
            </w:pPr>
            <w:r>
              <w:rPr>
                <w:rStyle w:val="Brak"/>
                <w:rFonts w:ascii="Cambria" w:hAnsi="Cambria"/>
                <w:b/>
                <w:bCs/>
                <w:u w:color="000000"/>
                <w:lang w:val="de-DE"/>
              </w:rPr>
              <w:t>RAZEM</w:t>
            </w:r>
          </w:p>
        </w:tc>
        <w:tc>
          <w:tcPr>
            <w:tcW w:w="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E2E1DC" w14:textId="77777777" w:rsidR="00B62810" w:rsidRDefault="007A0F62">
            <w:pPr>
              <w:pStyle w:val="Tre"/>
              <w:widowControl w:val="0"/>
              <w:jc w:val="center"/>
            </w:pPr>
            <w:r>
              <w:rPr>
                <w:rStyle w:val="Brak"/>
                <w:rFonts w:ascii="Cambria" w:hAnsi="Cambria"/>
                <w:b/>
                <w:bCs/>
                <w:u w:color="000000"/>
                <w14:textOutline w14:w="12700" w14:cap="flat" w14:cmpd="sng" w14:algn="ctr">
                  <w14:noFill/>
                  <w14:prstDash w14:val="solid"/>
                  <w14:miter w14:lim="400000"/>
                </w14:textOutline>
              </w:rPr>
              <w:t>445,8</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FF8759" w14:textId="77777777" w:rsidR="00B62810" w:rsidRDefault="007A0F62">
            <w:pPr>
              <w:pStyle w:val="Body"/>
              <w:widowControl w:val="0"/>
              <w:jc w:val="center"/>
            </w:pPr>
            <w:r>
              <w:rPr>
                <w:rStyle w:val="Brak"/>
                <w:rFonts w:ascii="Cambria" w:hAnsi="Cambria"/>
                <w:b/>
                <w:bCs/>
              </w:rPr>
              <w:t>27,4</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80D51" w14:textId="77777777" w:rsidR="00B62810" w:rsidRDefault="007A0F62">
            <w:pPr>
              <w:pStyle w:val="Body"/>
              <w:widowControl w:val="0"/>
              <w:jc w:val="center"/>
            </w:pPr>
            <w:r>
              <w:rPr>
                <w:rStyle w:val="Brak"/>
                <w:rFonts w:ascii="Cambria" w:hAnsi="Cambria"/>
                <w:b/>
                <w:bCs/>
              </w:rPr>
              <w:t>-21,1</w:t>
            </w:r>
          </w:p>
        </w:tc>
        <w:tc>
          <w:tcPr>
            <w:tcW w:w="1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3A7CD" w14:textId="77777777" w:rsidR="00B62810" w:rsidRDefault="007A0F62">
            <w:pPr>
              <w:pStyle w:val="TreA"/>
              <w:widowControl w:val="0"/>
              <w:jc w:val="center"/>
            </w:pPr>
            <w:r>
              <w:rPr>
                <w:rStyle w:val="Brak"/>
                <w:rFonts w:ascii="Cambria" w:hAnsi="Cambria"/>
                <w:b/>
                <w:bCs/>
              </w:rPr>
              <w:t>1 033,8</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E95956" w14:textId="77777777" w:rsidR="00B62810" w:rsidRDefault="007A0F62">
            <w:pPr>
              <w:pStyle w:val="Body"/>
              <w:widowControl w:val="0"/>
              <w:jc w:val="center"/>
            </w:pPr>
            <w:r>
              <w:rPr>
                <w:rStyle w:val="Brak"/>
                <w:rFonts w:ascii="Cambria" w:hAnsi="Cambria"/>
                <w:b/>
                <w:bCs/>
              </w:rPr>
              <w:t>29,1</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15075F" w14:textId="77777777" w:rsidR="00B62810" w:rsidRDefault="007A0F62">
            <w:pPr>
              <w:pStyle w:val="Body"/>
              <w:widowControl w:val="0"/>
              <w:jc w:val="center"/>
            </w:pPr>
            <w:r>
              <w:rPr>
                <w:rStyle w:val="Brak"/>
                <w:rFonts w:ascii="Cambria" w:hAnsi="Cambria"/>
                <w:b/>
                <w:bCs/>
              </w:rPr>
              <w:t>-24,8</w:t>
            </w:r>
          </w:p>
        </w:tc>
      </w:tr>
    </w:tbl>
    <w:p w14:paraId="0FCF733A" w14:textId="77777777" w:rsidR="00B62810" w:rsidRDefault="007A0F62" w:rsidP="00511909">
      <w:pPr>
        <w:pStyle w:val="WordDefaultStyleA"/>
        <w:jc w:val="left"/>
      </w:pPr>
      <w:r>
        <w:rPr>
          <w:rStyle w:val="BrakA"/>
        </w:rPr>
        <w:t>Żródło: badanie GUS</w:t>
      </w:r>
    </w:p>
    <w:p w14:paraId="24843D02" w14:textId="77777777" w:rsidR="00B62810" w:rsidRDefault="00B62810" w:rsidP="00511909">
      <w:pPr>
        <w:pStyle w:val="WordDefaultStyleA"/>
        <w:jc w:val="left"/>
        <w:rPr>
          <w:rStyle w:val="BrakA"/>
        </w:rPr>
      </w:pPr>
    </w:p>
    <w:p w14:paraId="00252D67" w14:textId="77777777" w:rsidR="00B62810" w:rsidRDefault="007A0F62" w:rsidP="00511909">
      <w:pPr>
        <w:pStyle w:val="WordDefaultStyleA"/>
      </w:pPr>
      <w:r>
        <w:rPr>
          <w:rStyle w:val="BrakA"/>
        </w:rPr>
        <w:t>Badania GUS potwierdzają tendencje rosnące w porównaniu z rokiem 2022, które wykazało także opracowanie MSiT ale pokazują także, że nadal brakuje nam prawie 1/4 podróżnych z krajów nordyckich. I tylko w jednym przypadku można dyskutować z wynikami ankiet GUSu, tj na rynku norweskim. Wg Norweskiego Centralnego Urzędu Statystycznego Polska znalazła się w pierwszej ósemce destynacji, do których chętnie podróżowano w 2023 roku a liczba podróży przekroczyła tę zrealizowaną w 2019 roku.</w:t>
      </w:r>
    </w:p>
    <w:p w14:paraId="2D4B7A52" w14:textId="77777777" w:rsidR="00B62810" w:rsidRDefault="00B62810" w:rsidP="00511909">
      <w:pPr>
        <w:pStyle w:val="WordDefaultStyleA"/>
        <w:jc w:val="left"/>
        <w:rPr>
          <w:rStyle w:val="Brak"/>
          <w:b/>
          <w:bCs/>
        </w:rPr>
      </w:pPr>
    </w:p>
    <w:tbl>
      <w:tblPr>
        <w:tblStyle w:val="TableNormal"/>
        <w:tblW w:w="892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1"/>
        <w:gridCol w:w="1164"/>
        <w:gridCol w:w="1199"/>
        <w:gridCol w:w="1420"/>
        <w:gridCol w:w="1283"/>
        <w:gridCol w:w="1273"/>
      </w:tblGrid>
      <w:tr w:rsidR="00B62810" w14:paraId="2392510C" w14:textId="77777777" w:rsidTr="00511909">
        <w:trPr>
          <w:trHeight w:val="263"/>
        </w:trPr>
        <w:tc>
          <w:tcPr>
            <w:tcW w:w="2581"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43A07495" w14:textId="77777777" w:rsidR="00B62810" w:rsidRDefault="007A0F62">
            <w:pPr>
              <w:pStyle w:val="TreA"/>
            </w:pPr>
            <w:r>
              <w:rPr>
                <w:rStyle w:val="Brak"/>
                <w:b/>
                <w:bCs/>
              </w:rPr>
              <w:t>Liczba podróży (w tys.)</w:t>
            </w:r>
          </w:p>
        </w:tc>
        <w:tc>
          <w:tcPr>
            <w:tcW w:w="1164"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7DA5435A" w14:textId="77777777" w:rsidR="00B62810" w:rsidRDefault="007A0F62">
            <w:pPr>
              <w:pStyle w:val="Body"/>
              <w:widowControl w:val="0"/>
              <w:jc w:val="center"/>
            </w:pPr>
            <w:r>
              <w:rPr>
                <w:rStyle w:val="Brak"/>
                <w:rFonts w:ascii="Cambria" w:hAnsi="Cambria"/>
                <w:b/>
                <w:bCs/>
                <w:sz w:val="22"/>
                <w:szCs w:val="22"/>
              </w:rPr>
              <w:t>2019</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4815E1FC" w14:textId="77777777" w:rsidR="00B62810" w:rsidRDefault="007A0F62">
            <w:pPr>
              <w:pStyle w:val="Body"/>
              <w:widowControl w:val="0"/>
              <w:jc w:val="center"/>
            </w:pPr>
            <w:r>
              <w:rPr>
                <w:rStyle w:val="Brak"/>
                <w:rFonts w:ascii="Cambria" w:hAnsi="Cambria"/>
                <w:b/>
                <w:bCs/>
                <w:sz w:val="22"/>
                <w:szCs w:val="22"/>
              </w:rPr>
              <w:t>2020</w:t>
            </w:r>
          </w:p>
        </w:tc>
        <w:tc>
          <w:tcPr>
            <w:tcW w:w="1420"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0A8B57FE" w14:textId="77777777" w:rsidR="00B62810" w:rsidRDefault="007A0F62">
            <w:pPr>
              <w:pStyle w:val="Tre"/>
              <w:widowControl w:val="0"/>
              <w:jc w:val="center"/>
              <w:outlineLvl w:val="0"/>
            </w:pPr>
            <w:r>
              <w:rPr>
                <w:rStyle w:val="Brak"/>
                <w:rFonts w:ascii="Cambria" w:hAnsi="Cambria"/>
                <w:b/>
                <w:bCs/>
                <w:sz w:val="22"/>
                <w:szCs w:val="22"/>
                <w:u w:color="000000"/>
                <w:lang w:val="en-US"/>
                <w14:textOutline w14:w="12700" w14:cap="flat" w14:cmpd="sng" w14:algn="ctr">
                  <w14:noFill/>
                  <w14:prstDash w14:val="solid"/>
                  <w14:miter w14:lim="400000"/>
                </w14:textOutline>
              </w:rPr>
              <w:t>2021</w:t>
            </w:r>
          </w:p>
        </w:tc>
        <w:tc>
          <w:tcPr>
            <w:tcW w:w="1283"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EBB5DC7" w14:textId="77777777" w:rsidR="00B62810" w:rsidRDefault="007A0F62">
            <w:pPr>
              <w:pStyle w:val="Body"/>
              <w:widowControl w:val="0"/>
              <w:jc w:val="center"/>
            </w:pPr>
            <w:r>
              <w:rPr>
                <w:rStyle w:val="Brak"/>
                <w:rFonts w:ascii="Cambria" w:hAnsi="Cambria"/>
                <w:b/>
                <w:bCs/>
                <w:sz w:val="22"/>
                <w:szCs w:val="22"/>
              </w:rPr>
              <w:t>2022</w:t>
            </w:r>
          </w:p>
        </w:tc>
        <w:tc>
          <w:tcPr>
            <w:tcW w:w="1273"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5095F1B" w14:textId="77777777" w:rsidR="00B62810" w:rsidRDefault="007A0F62">
            <w:pPr>
              <w:pStyle w:val="Tre"/>
              <w:widowControl w:val="0"/>
              <w:jc w:val="center"/>
            </w:pPr>
            <w:r>
              <w:rPr>
                <w:rStyle w:val="Brak"/>
                <w:b/>
                <w:bCs/>
                <w:sz w:val="22"/>
                <w:szCs w:val="22"/>
                <w:u w:color="000000"/>
                <w14:textOutline w14:w="12700" w14:cap="flat" w14:cmpd="sng" w14:algn="ctr">
                  <w14:noFill/>
                  <w14:prstDash w14:val="solid"/>
                  <w14:miter w14:lim="400000"/>
                </w14:textOutline>
              </w:rPr>
              <w:t>2023</w:t>
            </w:r>
          </w:p>
        </w:tc>
      </w:tr>
      <w:tr w:rsidR="00B62810" w14:paraId="03408674" w14:textId="77777777" w:rsidTr="00511909">
        <w:trPr>
          <w:trHeight w:val="24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02B7" w14:textId="77777777" w:rsidR="00B62810" w:rsidRDefault="007A0F62">
            <w:pPr>
              <w:pStyle w:val="Body"/>
              <w:widowControl w:val="0"/>
            </w:pPr>
            <w:proofErr w:type="spellStart"/>
            <w:r>
              <w:rPr>
                <w:rStyle w:val="Brak"/>
                <w:rFonts w:ascii="Cambria" w:hAnsi="Cambria"/>
                <w:sz w:val="22"/>
                <w:szCs w:val="22"/>
              </w:rPr>
              <w:t>Szwecja</w:t>
            </w:r>
            <w:proofErr w:type="spellEnd"/>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0F9A6" w14:textId="77777777" w:rsidR="00B62810" w:rsidRDefault="007A0F62">
            <w:pPr>
              <w:pStyle w:val="Body"/>
              <w:widowControl w:val="0"/>
              <w:jc w:val="center"/>
            </w:pPr>
            <w:r>
              <w:rPr>
                <w:rStyle w:val="Brak"/>
                <w:rFonts w:ascii="Cambria" w:hAnsi="Cambria"/>
                <w:sz w:val="22"/>
                <w:szCs w:val="22"/>
              </w:rPr>
              <w:t>1 918</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B646F8" w14:textId="77777777" w:rsidR="00B62810" w:rsidRDefault="007A0F62">
            <w:pPr>
              <w:pStyle w:val="Body"/>
              <w:widowControl w:val="0"/>
              <w:jc w:val="center"/>
            </w:pPr>
            <w:r>
              <w:rPr>
                <w:rStyle w:val="Brak"/>
                <w:rFonts w:ascii="Cambria" w:hAnsi="Cambria"/>
                <w:sz w:val="22"/>
                <w:szCs w:val="22"/>
              </w:rPr>
              <w:t>239</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CD8710" w14:textId="77777777" w:rsidR="00B62810" w:rsidRDefault="007A0F62">
            <w:pPr>
              <w:pStyle w:val="BodyA"/>
              <w:widowControl w:val="0"/>
              <w:jc w:val="center"/>
            </w:pPr>
            <w:r>
              <w:rPr>
                <w:rStyle w:val="Brak"/>
                <w:u w:color="000000"/>
              </w:rPr>
              <w:t>587</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34B08" w14:textId="77777777" w:rsidR="00B62810" w:rsidRDefault="007A0F62">
            <w:pPr>
              <w:pStyle w:val="Body"/>
              <w:widowControl w:val="0"/>
              <w:jc w:val="center"/>
            </w:pPr>
            <w:r>
              <w:rPr>
                <w:rStyle w:val="Brak"/>
                <w:rFonts w:ascii="Cambria" w:hAnsi="Cambria"/>
                <w:sz w:val="22"/>
                <w:szCs w:val="22"/>
              </w:rPr>
              <w:t>1 527</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219B2" w14:textId="77777777" w:rsidR="00B62810" w:rsidRDefault="007A0F62">
            <w:pPr>
              <w:pStyle w:val="Tre"/>
              <w:widowControl w:val="0"/>
              <w:jc w:val="center"/>
            </w:pPr>
            <w:r>
              <w:rPr>
                <w:rStyle w:val="Brak"/>
                <w:sz w:val="22"/>
                <w:szCs w:val="22"/>
                <w:u w:color="000000"/>
                <w14:textOutline w14:w="12700" w14:cap="flat" w14:cmpd="sng" w14:algn="ctr">
                  <w14:noFill/>
                  <w14:prstDash w14:val="solid"/>
                  <w14:miter w14:lim="400000"/>
                </w14:textOutline>
              </w:rPr>
              <w:t>1 </w:t>
            </w:r>
            <w:r>
              <w:rPr>
                <w:rStyle w:val="Brak"/>
                <w:sz w:val="22"/>
                <w:szCs w:val="22"/>
                <w:u w:color="000000"/>
                <w:lang w:val="ru-RU"/>
                <w14:textOutline w14:w="12700" w14:cap="flat" w14:cmpd="sng" w14:algn="ctr">
                  <w14:noFill/>
                  <w14:prstDash w14:val="solid"/>
                  <w14:miter w14:lim="400000"/>
                </w14:textOutline>
              </w:rPr>
              <w:t>574</w:t>
            </w:r>
          </w:p>
        </w:tc>
      </w:tr>
      <w:tr w:rsidR="00B62810" w14:paraId="2049A473" w14:textId="77777777" w:rsidTr="00511909">
        <w:trPr>
          <w:trHeight w:val="233"/>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2D0E1" w14:textId="77777777" w:rsidR="00B62810" w:rsidRDefault="007A0F62">
            <w:pPr>
              <w:pStyle w:val="Body"/>
              <w:widowControl w:val="0"/>
            </w:pPr>
            <w:proofErr w:type="spellStart"/>
            <w:r>
              <w:rPr>
                <w:rStyle w:val="Brak"/>
                <w:rFonts w:ascii="Cambria" w:hAnsi="Cambria"/>
                <w:sz w:val="22"/>
                <w:szCs w:val="22"/>
              </w:rPr>
              <w:t>Hiszpania</w:t>
            </w:r>
            <w:proofErr w:type="spellEnd"/>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C41F2F" w14:textId="77777777" w:rsidR="00B62810" w:rsidRDefault="007A0F62">
            <w:pPr>
              <w:pStyle w:val="Body"/>
              <w:widowControl w:val="0"/>
              <w:jc w:val="center"/>
            </w:pPr>
            <w:r>
              <w:rPr>
                <w:rStyle w:val="Brak"/>
                <w:rFonts w:ascii="Cambria" w:hAnsi="Cambria"/>
                <w:sz w:val="22"/>
                <w:szCs w:val="22"/>
              </w:rPr>
              <w:t>1 225</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ED1794" w14:textId="77777777" w:rsidR="00B62810" w:rsidRDefault="007A0F62">
            <w:pPr>
              <w:pStyle w:val="Body"/>
              <w:widowControl w:val="0"/>
              <w:jc w:val="center"/>
            </w:pPr>
            <w:r>
              <w:rPr>
                <w:rStyle w:val="Brak"/>
                <w:rFonts w:ascii="Cambria" w:hAnsi="Cambria"/>
                <w:sz w:val="22"/>
                <w:szCs w:val="22"/>
              </w:rPr>
              <w:t>216</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E69DF" w14:textId="77777777" w:rsidR="00B62810" w:rsidRDefault="007A0F62">
            <w:pPr>
              <w:pStyle w:val="Body"/>
              <w:widowControl w:val="0"/>
              <w:jc w:val="center"/>
            </w:pPr>
            <w:r>
              <w:rPr>
                <w:rStyle w:val="Brak"/>
              </w:rPr>
              <w:t>266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0796F" w14:textId="77777777" w:rsidR="00B62810" w:rsidRDefault="007A0F62">
            <w:pPr>
              <w:pStyle w:val="Body"/>
              <w:widowControl w:val="0"/>
              <w:jc w:val="center"/>
            </w:pPr>
            <w:r>
              <w:rPr>
                <w:rStyle w:val="Brak"/>
                <w:rFonts w:ascii="Cambria" w:hAnsi="Cambria"/>
                <w:sz w:val="22"/>
                <w:szCs w:val="22"/>
              </w:rPr>
              <w:t>1 139</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F86F8" w14:textId="77777777" w:rsidR="00B62810" w:rsidRDefault="007A0F62">
            <w:pPr>
              <w:pStyle w:val="Tre"/>
              <w:widowControl w:val="0"/>
              <w:jc w:val="center"/>
            </w:pPr>
            <w:r>
              <w:rPr>
                <w:rStyle w:val="Brak"/>
                <w:sz w:val="22"/>
                <w:szCs w:val="22"/>
                <w:u w:color="000000"/>
                <w14:textOutline w14:w="12700" w14:cap="flat" w14:cmpd="sng" w14:algn="ctr">
                  <w14:noFill/>
                  <w14:prstDash w14:val="solid"/>
                  <w14:miter w14:lim="400000"/>
                </w14:textOutline>
              </w:rPr>
              <w:t>1 309</w:t>
            </w:r>
          </w:p>
        </w:tc>
      </w:tr>
      <w:tr w:rsidR="00B62810" w14:paraId="355EF0DB" w14:textId="77777777" w:rsidTr="00511909">
        <w:trPr>
          <w:trHeight w:val="69"/>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686C6" w14:textId="77777777" w:rsidR="00B62810" w:rsidRDefault="007A0F62">
            <w:pPr>
              <w:pStyle w:val="Body"/>
              <w:widowControl w:val="0"/>
            </w:pPr>
            <w:r>
              <w:rPr>
                <w:rStyle w:val="Brak"/>
                <w:rFonts w:ascii="Cambria" w:hAnsi="Cambria"/>
                <w:sz w:val="22"/>
                <w:szCs w:val="22"/>
              </w:rPr>
              <w:t>Dania</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DD4034" w14:textId="77777777" w:rsidR="00B62810" w:rsidRDefault="007A0F62">
            <w:pPr>
              <w:pStyle w:val="Body"/>
              <w:widowControl w:val="0"/>
              <w:jc w:val="center"/>
            </w:pPr>
            <w:r>
              <w:rPr>
                <w:rStyle w:val="Brak"/>
                <w:rFonts w:ascii="Cambria" w:hAnsi="Cambria"/>
                <w:sz w:val="22"/>
                <w:szCs w:val="22"/>
                <w:lang w:val="pt-PT"/>
              </w:rPr>
              <w:t>1 017</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508C6" w14:textId="77777777" w:rsidR="00B62810" w:rsidRDefault="007A0F62">
            <w:pPr>
              <w:pStyle w:val="Body"/>
              <w:widowControl w:val="0"/>
              <w:jc w:val="center"/>
            </w:pPr>
            <w:r>
              <w:rPr>
                <w:rStyle w:val="Brak"/>
                <w:rFonts w:ascii="Cambria" w:hAnsi="Cambria"/>
                <w:sz w:val="22"/>
                <w:szCs w:val="22"/>
              </w:rPr>
              <w:t>224</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E4D67" w14:textId="77777777" w:rsidR="00B62810" w:rsidRDefault="007A0F62">
            <w:pPr>
              <w:pStyle w:val="Body"/>
              <w:widowControl w:val="0"/>
              <w:jc w:val="center"/>
            </w:pPr>
            <w:r>
              <w:rPr>
                <w:rStyle w:val="Brak"/>
                <w:rFonts w:ascii="Cambria" w:hAnsi="Cambria"/>
                <w:sz w:val="22"/>
                <w:szCs w:val="22"/>
              </w:rPr>
              <w:t>284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C281C" w14:textId="77777777" w:rsidR="00B62810" w:rsidRDefault="007A0F62">
            <w:pPr>
              <w:pStyle w:val="Body"/>
              <w:widowControl w:val="0"/>
              <w:jc w:val="center"/>
            </w:pPr>
            <w:r>
              <w:rPr>
                <w:rStyle w:val="Brak"/>
                <w:rFonts w:ascii="Cambria" w:hAnsi="Cambria"/>
                <w:sz w:val="22"/>
                <w:szCs w:val="22"/>
              </w:rPr>
              <w:t>843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B7CC9" w14:textId="77777777" w:rsidR="00B62810" w:rsidRDefault="007A0F62">
            <w:pPr>
              <w:pStyle w:val="Tre"/>
              <w:widowControl w:val="0"/>
              <w:jc w:val="center"/>
            </w:pPr>
            <w:r>
              <w:rPr>
                <w:rStyle w:val="Brak"/>
                <w:sz w:val="22"/>
                <w:szCs w:val="22"/>
                <w:u w:color="000000"/>
                <w14:textOutline w14:w="12700" w14:cap="flat" w14:cmpd="sng" w14:algn="ctr">
                  <w14:noFill/>
                  <w14:prstDash w14:val="solid"/>
                  <w14:miter w14:lim="400000"/>
                </w14:textOutline>
              </w:rPr>
              <w:t>720</w:t>
            </w:r>
          </w:p>
        </w:tc>
      </w:tr>
      <w:tr w:rsidR="00B62810" w14:paraId="6DE21CFB" w14:textId="77777777" w:rsidTr="00511909">
        <w:trPr>
          <w:trHeight w:val="203"/>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AC020" w14:textId="77777777" w:rsidR="00B62810" w:rsidRDefault="007A0F62">
            <w:pPr>
              <w:pStyle w:val="Body"/>
              <w:widowControl w:val="0"/>
            </w:pPr>
            <w:proofErr w:type="spellStart"/>
            <w:r>
              <w:rPr>
                <w:rStyle w:val="Brak"/>
                <w:rFonts w:ascii="Cambria" w:hAnsi="Cambria"/>
                <w:sz w:val="22"/>
                <w:szCs w:val="22"/>
              </w:rPr>
              <w:t>Wielka</w:t>
            </w:r>
            <w:proofErr w:type="spellEnd"/>
            <w:r>
              <w:rPr>
                <w:rStyle w:val="Brak"/>
                <w:rFonts w:ascii="Cambria" w:hAnsi="Cambria"/>
                <w:sz w:val="22"/>
                <w:szCs w:val="22"/>
              </w:rPr>
              <w:t xml:space="preserve"> </w:t>
            </w:r>
            <w:proofErr w:type="spellStart"/>
            <w:r>
              <w:rPr>
                <w:rStyle w:val="Brak"/>
                <w:rFonts w:ascii="Cambria" w:hAnsi="Cambria"/>
                <w:sz w:val="22"/>
                <w:szCs w:val="22"/>
              </w:rPr>
              <w:t>Brytania</w:t>
            </w:r>
            <w:proofErr w:type="spellEnd"/>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958CD" w14:textId="77777777" w:rsidR="00B62810" w:rsidRDefault="007A0F62">
            <w:pPr>
              <w:pStyle w:val="BodyA"/>
              <w:widowControl w:val="0"/>
              <w:jc w:val="center"/>
            </w:pPr>
            <w:r>
              <w:rPr>
                <w:rStyle w:val="Brak"/>
                <w:rFonts w:ascii="Cambria" w:hAnsi="Cambria"/>
                <w:sz w:val="22"/>
                <w:szCs w:val="22"/>
                <w:u w:color="000000"/>
              </w:rPr>
              <w:t>661</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908DC1" w14:textId="77777777" w:rsidR="00B62810" w:rsidRDefault="007A0F62">
            <w:pPr>
              <w:pStyle w:val="Body"/>
              <w:widowControl w:val="0"/>
              <w:jc w:val="center"/>
            </w:pPr>
            <w:r>
              <w:rPr>
                <w:rStyle w:val="Brak"/>
                <w:rFonts w:ascii="Cambria" w:hAnsi="Cambria"/>
                <w:sz w:val="22"/>
                <w:szCs w:val="22"/>
              </w:rPr>
              <w:t>165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9B2AC9" w14:textId="77777777" w:rsidR="00B62810" w:rsidRDefault="007A0F62">
            <w:pPr>
              <w:pStyle w:val="Body"/>
              <w:widowControl w:val="0"/>
              <w:jc w:val="center"/>
            </w:pPr>
            <w:r>
              <w:rPr>
                <w:rStyle w:val="Brak"/>
              </w:rPr>
              <w:t>79</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C53CA8" w14:textId="77777777" w:rsidR="00B62810" w:rsidRDefault="007A0F62">
            <w:pPr>
              <w:pStyle w:val="Body"/>
              <w:widowControl w:val="0"/>
              <w:jc w:val="center"/>
            </w:pPr>
            <w:r>
              <w:rPr>
                <w:rStyle w:val="Brak"/>
                <w:rFonts w:ascii="Cambria" w:hAnsi="Cambria"/>
                <w:sz w:val="22"/>
                <w:szCs w:val="22"/>
              </w:rPr>
              <w:t>460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B4D87E" w14:textId="77777777" w:rsidR="00B62810" w:rsidRDefault="007A0F62">
            <w:pPr>
              <w:pStyle w:val="Tre"/>
              <w:widowControl w:val="0"/>
              <w:jc w:val="center"/>
            </w:pPr>
            <w:r>
              <w:rPr>
                <w:rStyle w:val="Brak"/>
                <w:sz w:val="22"/>
                <w:szCs w:val="22"/>
                <w:u w:color="000000"/>
                <w14:textOutline w14:w="12700" w14:cap="flat" w14:cmpd="sng" w14:algn="ctr">
                  <w14:noFill/>
                  <w14:prstDash w14:val="solid"/>
                  <w14:miter w14:lim="400000"/>
                </w14:textOutline>
              </w:rPr>
              <w:t>532</w:t>
            </w:r>
          </w:p>
        </w:tc>
      </w:tr>
      <w:tr w:rsidR="00B62810" w14:paraId="126DE8FA" w14:textId="77777777" w:rsidTr="00511909">
        <w:trPr>
          <w:trHeight w:val="195"/>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EC6C4" w14:textId="77777777" w:rsidR="00B62810" w:rsidRDefault="007A0F62">
            <w:pPr>
              <w:pStyle w:val="Tre"/>
              <w:widowControl w:val="0"/>
            </w:pPr>
            <w:r>
              <w:rPr>
                <w:rStyle w:val="Brak"/>
                <w:sz w:val="22"/>
                <w:szCs w:val="22"/>
                <w:u w:color="000000"/>
                <w14:textOutline w14:w="12700" w14:cap="flat" w14:cmpd="sng" w14:algn="ctr">
                  <w14:noFill/>
                  <w14:prstDash w14:val="solid"/>
                  <w14:miter w14:lim="400000"/>
                </w14:textOutline>
              </w:rPr>
              <w:t>Niemcy</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9C112A" w14:textId="77777777" w:rsidR="00B62810" w:rsidRDefault="007A0F62">
            <w:pPr>
              <w:pStyle w:val="BodyA"/>
              <w:widowControl w:val="0"/>
              <w:jc w:val="center"/>
            </w:pPr>
            <w:r>
              <w:rPr>
                <w:rStyle w:val="Brak"/>
                <w:sz w:val="22"/>
                <w:szCs w:val="22"/>
                <w:u w:color="000000"/>
              </w:rPr>
              <w:t>548</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4B486F" w14:textId="77777777" w:rsidR="00B62810" w:rsidRDefault="007A0F62">
            <w:pPr>
              <w:pStyle w:val="Body"/>
              <w:widowControl w:val="0"/>
              <w:jc w:val="center"/>
            </w:pPr>
            <w:r>
              <w:rPr>
                <w:rStyle w:val="Brak"/>
                <w:sz w:val="22"/>
                <w:szCs w:val="22"/>
              </w:rPr>
              <w:t>112</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68B71" w14:textId="77777777" w:rsidR="00B62810" w:rsidRDefault="007A0F62">
            <w:pPr>
              <w:pStyle w:val="Tre"/>
              <w:widowControl w:val="0"/>
              <w:jc w:val="center"/>
            </w:pPr>
            <w:r>
              <w:rPr>
                <w:rStyle w:val="Brak"/>
                <w:sz w:val="22"/>
                <w:szCs w:val="22"/>
                <w:u w:color="000000"/>
                <w14:textOutline w14:w="12700" w14:cap="flat" w14:cmpd="sng" w14:algn="ctr">
                  <w14:noFill/>
                  <w14:prstDash w14:val="solid"/>
                  <w14:miter w14:lim="400000"/>
                </w14:textOutline>
              </w:rPr>
              <w:t>188</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01B9C" w14:textId="77777777" w:rsidR="00B62810" w:rsidRDefault="007A0F62">
            <w:pPr>
              <w:pStyle w:val="Tre"/>
              <w:widowControl w:val="0"/>
              <w:jc w:val="center"/>
            </w:pPr>
            <w:r>
              <w:rPr>
                <w:rStyle w:val="Brak"/>
                <w:sz w:val="22"/>
                <w:szCs w:val="22"/>
                <w:u w:color="000000"/>
                <w14:textOutline w14:w="12700" w14:cap="flat" w14:cmpd="sng" w14:algn="ctr">
                  <w14:noFill/>
                  <w14:prstDash w14:val="solid"/>
                  <w14:miter w14:lim="400000"/>
                </w14:textOutline>
              </w:rPr>
              <w:t>418</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EFF3EE" w14:textId="77777777" w:rsidR="00B62810" w:rsidRDefault="007A0F62">
            <w:pPr>
              <w:pStyle w:val="Tre"/>
              <w:widowControl w:val="0"/>
              <w:jc w:val="center"/>
            </w:pPr>
            <w:r>
              <w:rPr>
                <w:rStyle w:val="Brak"/>
                <w:sz w:val="22"/>
                <w:szCs w:val="22"/>
                <w:u w:color="000000"/>
                <w14:textOutline w14:w="12700" w14:cap="flat" w14:cmpd="sng" w14:algn="ctr">
                  <w14:noFill/>
                  <w14:prstDash w14:val="solid"/>
                  <w14:miter w14:lim="400000"/>
                </w14:textOutline>
              </w:rPr>
              <w:t>389</w:t>
            </w:r>
          </w:p>
        </w:tc>
      </w:tr>
      <w:tr w:rsidR="00B62810" w14:paraId="5182DB6D" w14:textId="77777777" w:rsidTr="00511909">
        <w:trPr>
          <w:trHeight w:val="174"/>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F6782" w14:textId="77777777" w:rsidR="00B62810" w:rsidRDefault="007A0F62">
            <w:pPr>
              <w:pStyle w:val="Body"/>
              <w:widowControl w:val="0"/>
            </w:pPr>
            <w:r>
              <w:rPr>
                <w:rStyle w:val="Brak"/>
                <w:rFonts w:ascii="Cambria" w:hAnsi="Cambria"/>
                <w:sz w:val="22"/>
                <w:szCs w:val="22"/>
                <w:lang w:val="de-DE"/>
              </w:rPr>
              <w:t>W</w:t>
            </w:r>
            <w:proofErr w:type="spellStart"/>
            <w:r>
              <w:rPr>
                <w:rStyle w:val="Brak"/>
                <w:rFonts w:ascii="Cambria" w:hAnsi="Cambria"/>
                <w:sz w:val="22"/>
                <w:szCs w:val="22"/>
              </w:rPr>
              <w:t>łochy</w:t>
            </w:r>
            <w:proofErr w:type="spellEnd"/>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82B1E8" w14:textId="77777777" w:rsidR="00B62810" w:rsidRDefault="007A0F62">
            <w:pPr>
              <w:pStyle w:val="Body"/>
              <w:widowControl w:val="0"/>
              <w:jc w:val="center"/>
            </w:pPr>
            <w:r>
              <w:rPr>
                <w:rStyle w:val="Brak"/>
                <w:rFonts w:ascii="Cambria" w:hAnsi="Cambria"/>
                <w:sz w:val="22"/>
                <w:szCs w:val="22"/>
              </w:rPr>
              <w:t>238</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EFD64B" w14:textId="77777777" w:rsidR="00B62810" w:rsidRDefault="007A0F62">
            <w:pPr>
              <w:pStyle w:val="Body"/>
              <w:widowControl w:val="0"/>
              <w:jc w:val="center"/>
            </w:pPr>
            <w:r>
              <w:rPr>
                <w:rStyle w:val="Brak"/>
                <w:rFonts w:ascii="Cambria" w:hAnsi="Cambria"/>
                <w:sz w:val="22"/>
                <w:szCs w:val="22"/>
              </w:rPr>
              <w:t>47</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CB9E2" w14:textId="77777777" w:rsidR="00B62810" w:rsidRDefault="007A0F62">
            <w:pPr>
              <w:pStyle w:val="Body"/>
              <w:widowControl w:val="0"/>
              <w:jc w:val="center"/>
            </w:pPr>
            <w:r>
              <w:rPr>
                <w:rStyle w:val="Brak"/>
                <w:rFonts w:ascii="Cambria" w:hAnsi="Cambria"/>
                <w:sz w:val="22"/>
                <w:szCs w:val="22"/>
              </w:rPr>
              <w:t>72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40D9C" w14:textId="77777777" w:rsidR="00B62810" w:rsidRDefault="007A0F62">
            <w:pPr>
              <w:pStyle w:val="Body"/>
              <w:widowControl w:val="0"/>
              <w:jc w:val="center"/>
            </w:pPr>
            <w:r>
              <w:rPr>
                <w:rStyle w:val="Brak"/>
                <w:rFonts w:ascii="Cambria" w:hAnsi="Cambria"/>
                <w:sz w:val="22"/>
                <w:szCs w:val="22"/>
              </w:rPr>
              <w:t>264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3AF2D6" w14:textId="77777777" w:rsidR="00B62810" w:rsidRDefault="007A0F62">
            <w:pPr>
              <w:pStyle w:val="Tre"/>
              <w:widowControl w:val="0"/>
              <w:jc w:val="center"/>
            </w:pPr>
            <w:r>
              <w:rPr>
                <w:rStyle w:val="Brak"/>
                <w:sz w:val="22"/>
                <w:szCs w:val="22"/>
                <w:u w:color="000000"/>
                <w14:textOutline w14:w="12700" w14:cap="flat" w14:cmpd="sng" w14:algn="ctr">
                  <w14:noFill/>
                  <w14:prstDash w14:val="solid"/>
                  <w14:miter w14:lim="400000"/>
                </w14:textOutline>
              </w:rPr>
              <w:t>378</w:t>
            </w:r>
          </w:p>
        </w:tc>
      </w:tr>
      <w:tr w:rsidR="00B62810" w14:paraId="6FDB5DB4" w14:textId="77777777" w:rsidTr="00511909">
        <w:trPr>
          <w:trHeight w:val="179"/>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8BCB7" w14:textId="77777777" w:rsidR="00B62810" w:rsidRDefault="007A0F62">
            <w:pPr>
              <w:pStyle w:val="Body"/>
              <w:widowControl w:val="0"/>
            </w:pPr>
            <w:proofErr w:type="spellStart"/>
            <w:r>
              <w:rPr>
                <w:rStyle w:val="Brak"/>
                <w:rFonts w:ascii="Cambria" w:hAnsi="Cambria"/>
                <w:sz w:val="22"/>
                <w:szCs w:val="22"/>
              </w:rPr>
              <w:t>Francja</w:t>
            </w:r>
            <w:proofErr w:type="spellEnd"/>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DC8355" w14:textId="77777777" w:rsidR="00B62810" w:rsidRDefault="007A0F62">
            <w:pPr>
              <w:pStyle w:val="Body"/>
              <w:widowControl w:val="0"/>
              <w:jc w:val="center"/>
            </w:pPr>
            <w:r>
              <w:rPr>
                <w:rStyle w:val="Brak"/>
                <w:rFonts w:ascii="Cambria" w:hAnsi="Cambria"/>
                <w:sz w:val="22"/>
                <w:szCs w:val="22"/>
              </w:rPr>
              <w:t>290</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A73F54" w14:textId="77777777" w:rsidR="00B62810" w:rsidRDefault="007A0F62">
            <w:pPr>
              <w:pStyle w:val="Body"/>
              <w:widowControl w:val="0"/>
              <w:jc w:val="center"/>
            </w:pPr>
            <w:r>
              <w:rPr>
                <w:rStyle w:val="Brak"/>
                <w:rFonts w:ascii="Cambria" w:hAnsi="Cambria"/>
                <w:sz w:val="22"/>
                <w:szCs w:val="22"/>
              </w:rPr>
              <w:t>42</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353F20" w14:textId="77777777" w:rsidR="00B62810" w:rsidRDefault="007A0F62">
            <w:pPr>
              <w:pStyle w:val="Body"/>
              <w:widowControl w:val="0"/>
              <w:jc w:val="center"/>
            </w:pPr>
            <w:r>
              <w:rPr>
                <w:rStyle w:val="Brak"/>
                <w:rFonts w:ascii="Cambria" w:hAnsi="Cambria"/>
                <w:sz w:val="22"/>
                <w:szCs w:val="22"/>
                <w:lang w:val="ru-RU"/>
              </w:rPr>
              <w:t>57</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37EA5" w14:textId="77777777" w:rsidR="00B62810" w:rsidRDefault="007A0F62">
            <w:pPr>
              <w:pStyle w:val="Body"/>
              <w:widowControl w:val="0"/>
              <w:jc w:val="center"/>
            </w:pPr>
            <w:r>
              <w:rPr>
                <w:rStyle w:val="Brak"/>
              </w:rPr>
              <w:t>281</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DE7FD9" w14:textId="77777777" w:rsidR="00B62810" w:rsidRDefault="007A0F62">
            <w:pPr>
              <w:pStyle w:val="Tre"/>
              <w:widowControl w:val="0"/>
              <w:jc w:val="center"/>
            </w:pPr>
            <w:r>
              <w:rPr>
                <w:rStyle w:val="Brak"/>
                <w:sz w:val="22"/>
                <w:szCs w:val="22"/>
                <w:u w:color="000000"/>
                <w:lang w:val="ru-RU"/>
                <w14:textOutline w14:w="12700" w14:cap="flat" w14:cmpd="sng" w14:algn="ctr">
                  <w14:noFill/>
                  <w14:prstDash w14:val="solid"/>
                  <w14:miter w14:lim="400000"/>
                </w14:textOutline>
              </w:rPr>
              <w:t>341</w:t>
            </w:r>
          </w:p>
        </w:tc>
      </w:tr>
      <w:tr w:rsidR="00B62810" w14:paraId="795E2F3C" w14:textId="77777777" w:rsidTr="00BA4E70">
        <w:trPr>
          <w:trHeight w:val="299"/>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6B33B" w14:textId="77777777" w:rsidR="00B62810" w:rsidRDefault="007A0F62">
            <w:pPr>
              <w:pStyle w:val="Body"/>
              <w:widowControl w:val="0"/>
            </w:pPr>
            <w:r>
              <w:rPr>
                <w:rStyle w:val="Brak"/>
                <w:rFonts w:ascii="Cambria" w:hAnsi="Cambria"/>
                <w:b/>
                <w:bCs/>
                <w:sz w:val="22"/>
                <w:szCs w:val="22"/>
              </w:rPr>
              <w:t>Polska</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6CD8E" w14:textId="77777777" w:rsidR="00B62810" w:rsidRDefault="007A0F62">
            <w:pPr>
              <w:pStyle w:val="Body"/>
              <w:widowControl w:val="0"/>
              <w:jc w:val="center"/>
            </w:pPr>
            <w:r>
              <w:rPr>
                <w:rStyle w:val="Brak"/>
                <w:rFonts w:ascii="Cambria" w:hAnsi="Cambria"/>
                <w:b/>
                <w:bCs/>
                <w:sz w:val="22"/>
                <w:szCs w:val="22"/>
              </w:rPr>
              <w:t>281</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78825F" w14:textId="77777777" w:rsidR="00B62810" w:rsidRDefault="007A0F62">
            <w:pPr>
              <w:pStyle w:val="Body"/>
              <w:widowControl w:val="0"/>
              <w:jc w:val="center"/>
            </w:pPr>
            <w:r>
              <w:rPr>
                <w:rStyle w:val="Brak"/>
                <w:rFonts w:ascii="Cambria" w:hAnsi="Cambria"/>
                <w:b/>
                <w:bCs/>
                <w:sz w:val="22"/>
                <w:szCs w:val="22"/>
              </w:rPr>
              <w:t>84</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E62C8" w14:textId="77777777" w:rsidR="00B62810" w:rsidRDefault="007A0F62">
            <w:pPr>
              <w:pStyle w:val="Body"/>
              <w:widowControl w:val="0"/>
              <w:jc w:val="center"/>
            </w:pPr>
            <w:r>
              <w:rPr>
                <w:rStyle w:val="Brak"/>
                <w:rFonts w:ascii="Cambria" w:hAnsi="Cambria"/>
                <w:b/>
                <w:bCs/>
                <w:sz w:val="22"/>
                <w:szCs w:val="22"/>
              </w:rPr>
              <w:t>126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907E8E" w14:textId="77777777" w:rsidR="00B62810" w:rsidRDefault="007A0F62">
            <w:pPr>
              <w:pStyle w:val="Body"/>
              <w:widowControl w:val="0"/>
              <w:jc w:val="center"/>
            </w:pPr>
            <w:r>
              <w:rPr>
                <w:rStyle w:val="Brak"/>
                <w:rFonts w:ascii="Cambria" w:hAnsi="Cambria"/>
                <w:b/>
                <w:bCs/>
                <w:sz w:val="22"/>
                <w:szCs w:val="22"/>
              </w:rPr>
              <w:t>185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53D6A5" w14:textId="77777777" w:rsidR="00B62810" w:rsidRDefault="007A0F62">
            <w:pPr>
              <w:pStyle w:val="Tre"/>
              <w:widowControl w:val="0"/>
              <w:jc w:val="center"/>
            </w:pPr>
            <w:r>
              <w:rPr>
                <w:rStyle w:val="Brak"/>
                <w:b/>
                <w:bCs/>
                <w:sz w:val="22"/>
                <w:szCs w:val="22"/>
                <w:u w:color="000000"/>
                <w14:textOutline w14:w="12700" w14:cap="flat" w14:cmpd="sng" w14:algn="ctr">
                  <w14:noFill/>
                  <w14:prstDash w14:val="solid"/>
                  <w14:miter w14:lim="400000"/>
                </w14:textOutline>
              </w:rPr>
              <w:t>330</w:t>
            </w:r>
          </w:p>
        </w:tc>
      </w:tr>
    </w:tbl>
    <w:p w14:paraId="3C5786E7" w14:textId="77777777" w:rsidR="00B62810" w:rsidRDefault="007A0F62">
      <w:pPr>
        <w:pStyle w:val="WordDefaultStyleA"/>
        <w:jc w:val="left"/>
      </w:pPr>
      <w:r>
        <w:rPr>
          <w:rStyle w:val="BrakA"/>
        </w:rPr>
        <w:t xml:space="preserve">Źródło: </w:t>
      </w:r>
      <w:r w:rsidR="00BA4E70">
        <w:fldChar w:fldCharType="begin"/>
      </w:r>
      <w:r w:rsidR="00BA4E70">
        <w:instrText>HYPERLINK "http://www.ssb.no/"</w:instrText>
      </w:r>
      <w:r w:rsidR="00BA4E70">
        <w:fldChar w:fldCharType="separate"/>
      </w:r>
      <w:r>
        <w:rPr>
          <w:rStyle w:val="Hyperlink5"/>
        </w:rPr>
        <w:t>www.ssb.no</w:t>
      </w:r>
      <w:r w:rsidR="00BA4E70">
        <w:rPr>
          <w:rStyle w:val="Hyperlink5"/>
        </w:rPr>
        <w:fldChar w:fldCharType="end"/>
      </w:r>
    </w:p>
    <w:p w14:paraId="04DF1FC4" w14:textId="77777777" w:rsidR="00B62810" w:rsidRDefault="00B62810">
      <w:pPr>
        <w:pStyle w:val="WordDefaultStyleA"/>
        <w:jc w:val="left"/>
        <w:rPr>
          <w:rStyle w:val="BrakA"/>
        </w:rPr>
      </w:pPr>
    </w:p>
    <w:p w14:paraId="7ED25F7E" w14:textId="77777777" w:rsidR="00B62810" w:rsidRDefault="007A0F62">
      <w:pPr>
        <w:pStyle w:val="WordDefaultStyleA"/>
        <w:jc w:val="left"/>
      </w:pPr>
      <w:r>
        <w:rPr>
          <w:rStyle w:val="BrakA"/>
        </w:rPr>
        <w:t>Mamy także dostęp do fińskiej analizy ruchu wyjazdowego w okresie ostatnich 5 lat i wygląda to następująco:</w:t>
      </w:r>
    </w:p>
    <w:tbl>
      <w:tblPr>
        <w:tblStyle w:val="TableNormal"/>
        <w:tblW w:w="89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81"/>
        <w:gridCol w:w="1164"/>
        <w:gridCol w:w="1199"/>
        <w:gridCol w:w="1420"/>
        <w:gridCol w:w="1283"/>
        <w:gridCol w:w="1273"/>
      </w:tblGrid>
      <w:tr w:rsidR="00B62810" w14:paraId="10136642" w14:textId="77777777" w:rsidTr="00BA4E70">
        <w:trPr>
          <w:trHeight w:val="257"/>
        </w:trPr>
        <w:tc>
          <w:tcPr>
            <w:tcW w:w="2581"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7A654F0" w14:textId="77777777" w:rsidR="00B62810" w:rsidRDefault="007A0F62">
            <w:pPr>
              <w:pStyle w:val="TreA"/>
            </w:pPr>
            <w:r>
              <w:rPr>
                <w:rStyle w:val="Brak"/>
                <w:b/>
                <w:bCs/>
              </w:rPr>
              <w:t>Liczba podróży (w tys.)</w:t>
            </w:r>
          </w:p>
        </w:tc>
        <w:tc>
          <w:tcPr>
            <w:tcW w:w="1164"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7315783D" w14:textId="77777777" w:rsidR="00B62810" w:rsidRDefault="007A0F62">
            <w:pPr>
              <w:pStyle w:val="Body"/>
              <w:widowControl w:val="0"/>
              <w:jc w:val="center"/>
            </w:pPr>
            <w:r>
              <w:rPr>
                <w:rStyle w:val="Brak"/>
                <w:rFonts w:ascii="Cambria" w:hAnsi="Cambria"/>
                <w:b/>
                <w:bCs/>
                <w:sz w:val="22"/>
                <w:szCs w:val="22"/>
              </w:rPr>
              <w:t>2019</w:t>
            </w:r>
          </w:p>
        </w:tc>
        <w:tc>
          <w:tcPr>
            <w:tcW w:w="1199"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9B2C26F" w14:textId="77777777" w:rsidR="00B62810" w:rsidRDefault="007A0F62">
            <w:pPr>
              <w:pStyle w:val="Body"/>
              <w:widowControl w:val="0"/>
              <w:jc w:val="center"/>
            </w:pPr>
            <w:r>
              <w:rPr>
                <w:rStyle w:val="Brak"/>
                <w:rFonts w:ascii="Cambria" w:hAnsi="Cambria"/>
                <w:b/>
                <w:bCs/>
                <w:sz w:val="22"/>
                <w:szCs w:val="22"/>
              </w:rPr>
              <w:t>2020</w:t>
            </w:r>
          </w:p>
        </w:tc>
        <w:tc>
          <w:tcPr>
            <w:tcW w:w="1420"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79D9E2FA" w14:textId="77777777" w:rsidR="00B62810" w:rsidRDefault="007A0F62">
            <w:pPr>
              <w:pStyle w:val="Tre"/>
              <w:widowControl w:val="0"/>
              <w:jc w:val="center"/>
              <w:outlineLvl w:val="0"/>
            </w:pPr>
            <w:r>
              <w:rPr>
                <w:rStyle w:val="Brak"/>
                <w:rFonts w:ascii="Cambria" w:hAnsi="Cambria"/>
                <w:b/>
                <w:bCs/>
                <w:sz w:val="22"/>
                <w:szCs w:val="22"/>
                <w:u w:color="000000"/>
                <w:lang w:val="en-US"/>
                <w14:textOutline w14:w="12700" w14:cap="flat" w14:cmpd="sng" w14:algn="ctr">
                  <w14:noFill/>
                  <w14:prstDash w14:val="solid"/>
                  <w14:miter w14:lim="400000"/>
                </w14:textOutline>
              </w:rPr>
              <w:t>2021</w:t>
            </w:r>
          </w:p>
        </w:tc>
        <w:tc>
          <w:tcPr>
            <w:tcW w:w="1283"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36E59C0A" w14:textId="77777777" w:rsidR="00B62810" w:rsidRDefault="007A0F62">
            <w:pPr>
              <w:pStyle w:val="Body"/>
              <w:widowControl w:val="0"/>
              <w:jc w:val="center"/>
            </w:pPr>
            <w:r>
              <w:rPr>
                <w:rStyle w:val="Brak"/>
                <w:rFonts w:ascii="Cambria" w:hAnsi="Cambria"/>
                <w:b/>
                <w:bCs/>
                <w:sz w:val="22"/>
                <w:szCs w:val="22"/>
              </w:rPr>
              <w:t>2022</w:t>
            </w:r>
          </w:p>
        </w:tc>
        <w:tc>
          <w:tcPr>
            <w:tcW w:w="1273"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219FF1FE" w14:textId="77777777" w:rsidR="00B62810" w:rsidRDefault="007A0F62">
            <w:pPr>
              <w:pStyle w:val="Tre"/>
              <w:widowControl w:val="0"/>
              <w:jc w:val="center"/>
            </w:pPr>
            <w:r>
              <w:rPr>
                <w:rStyle w:val="Brak"/>
                <w:b/>
                <w:bCs/>
                <w:sz w:val="22"/>
                <w:szCs w:val="22"/>
                <w:u w:color="000000"/>
                <w14:textOutline w14:w="12700" w14:cap="flat" w14:cmpd="sng" w14:algn="ctr">
                  <w14:noFill/>
                  <w14:prstDash w14:val="solid"/>
                  <w14:miter w14:lim="400000"/>
                </w14:textOutline>
              </w:rPr>
              <w:t>2023</w:t>
            </w:r>
          </w:p>
        </w:tc>
      </w:tr>
      <w:tr w:rsidR="00B62810" w14:paraId="44939DBD" w14:textId="77777777" w:rsidTr="00BA4E70">
        <w:trPr>
          <w:trHeight w:val="235"/>
        </w:trPr>
        <w:tc>
          <w:tcPr>
            <w:tcW w:w="2581" w:type="dxa"/>
            <w:tcBorders>
              <w:top w:val="single" w:sz="4" w:space="0" w:color="000000"/>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346A24E"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Kraje nordyckie</w:t>
            </w:r>
          </w:p>
        </w:tc>
        <w:tc>
          <w:tcPr>
            <w:tcW w:w="1164" w:type="dxa"/>
            <w:tcBorders>
              <w:top w:val="single" w:sz="4" w:space="0" w:color="000000"/>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7CD6A3E"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2100</w:t>
            </w:r>
          </w:p>
        </w:tc>
        <w:tc>
          <w:tcPr>
            <w:tcW w:w="1199" w:type="dxa"/>
            <w:tcBorders>
              <w:top w:val="single" w:sz="4" w:space="0" w:color="000000"/>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E71B98A"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440</w:t>
            </w:r>
          </w:p>
        </w:tc>
        <w:tc>
          <w:tcPr>
            <w:tcW w:w="1420" w:type="dxa"/>
            <w:tcBorders>
              <w:top w:val="single" w:sz="4" w:space="0" w:color="000000"/>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BE7EE59"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630</w:t>
            </w:r>
          </w:p>
        </w:tc>
        <w:tc>
          <w:tcPr>
            <w:tcW w:w="1283" w:type="dxa"/>
            <w:tcBorders>
              <w:top w:val="single" w:sz="4" w:space="0" w:color="000000"/>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BAFB90E"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1370</w:t>
            </w:r>
          </w:p>
        </w:tc>
        <w:tc>
          <w:tcPr>
            <w:tcW w:w="1273" w:type="dxa"/>
            <w:tcBorders>
              <w:top w:val="single" w:sz="4" w:space="0" w:color="000000"/>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F5B1724"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1720</w:t>
            </w:r>
          </w:p>
        </w:tc>
      </w:tr>
      <w:tr w:rsidR="00B62810" w14:paraId="132AC5C4" w14:textId="77777777">
        <w:trPr>
          <w:trHeight w:val="770"/>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E173772"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Rosja i kraje nadbałtyckie</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BB6FDD0"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2360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633CF89"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990</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CAD6C60"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600</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4235BCA"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1550</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B854813"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1770</w:t>
            </w:r>
          </w:p>
        </w:tc>
      </w:tr>
      <w:tr w:rsidR="00B62810" w14:paraId="607075E4" w14:textId="77777777" w:rsidTr="00BA4E70">
        <w:trPr>
          <w:trHeight w:val="178"/>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AF1A0E7"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Zachodnia i środkowa Europa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2B6C0AB"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1340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480A389C"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240</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4B2AA65E"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190</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E3D3AFE"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950</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4E0CE9C1"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1070</w:t>
            </w:r>
          </w:p>
        </w:tc>
      </w:tr>
      <w:tr w:rsidR="00B62810" w14:paraId="696F23CD" w14:textId="77777777" w:rsidTr="00BA4E70">
        <w:trPr>
          <w:trHeight w:val="415"/>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567916E"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 xml:space="preserve">Europa Południowa i Środkowy </w:t>
            </w:r>
            <w:proofErr w:type="spellStart"/>
            <w:r>
              <w:rPr>
                <w:rStyle w:val="Brak"/>
                <w:rFonts w:ascii="Cambria" w:hAnsi="Cambria"/>
                <w:b/>
                <w:bCs/>
                <w14:textOutline w14:w="12700" w14:cap="flat" w14:cmpd="sng" w14:algn="ctr">
                  <w14:noFill/>
                  <w14:prstDash w14:val="solid"/>
                  <w14:miter w14:lim="400000"/>
                </w14:textOutline>
              </w:rPr>
              <w:t>Wsch</w:t>
            </w:r>
            <w:r>
              <w:rPr>
                <w:rStyle w:val="Brak"/>
                <w:rFonts w:ascii="Cambria" w:hAnsi="Cambria"/>
                <w:b/>
                <w:bCs/>
                <w:lang w:val="es-ES_tradnl"/>
                <w14:textOutline w14:w="12700" w14:cap="flat" w14:cmpd="sng" w14:algn="ctr">
                  <w14:noFill/>
                  <w14:prstDash w14:val="solid"/>
                  <w14:miter w14:lim="400000"/>
                </w14:textOutline>
              </w:rPr>
              <w:t>ó</w:t>
            </w:r>
            <w:proofErr w:type="spellEnd"/>
            <w:r>
              <w:rPr>
                <w:rStyle w:val="Brak"/>
                <w:rFonts w:ascii="Cambria" w:hAnsi="Cambria"/>
                <w:b/>
                <w:bCs/>
                <w14:textOutline w14:w="12700" w14:cap="flat" w14:cmpd="sng" w14:algn="ctr">
                  <w14:noFill/>
                  <w14:prstDash w14:val="solid"/>
                  <w14:miter w14:lim="400000"/>
                </w14:textOutline>
              </w:rPr>
              <w:t>d</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1430E7E"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1730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48FAFF9" w14:textId="77777777" w:rsidR="00B62810" w:rsidRDefault="007A0F62">
            <w:pPr>
              <w:pStyle w:val="Tre"/>
              <w:suppressAutoHyphens/>
              <w:jc w:val="center"/>
              <w:outlineLvl w:val="0"/>
            </w:pPr>
            <w:r>
              <w:rPr>
                <w:rStyle w:val="Brak"/>
                <w:rFonts w:ascii="Cambria" w:hAnsi="Cambria"/>
                <w:lang w:val="ru-RU"/>
                <w14:textOutline w14:w="12700" w14:cap="flat" w14:cmpd="sng" w14:algn="ctr">
                  <w14:noFill/>
                  <w14:prstDash w14:val="solid"/>
                  <w14:miter w14:lim="400000"/>
                </w14:textOutline>
              </w:rPr>
              <w:t>340</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75E9FC7"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400</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4245CBC"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1480</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2065ECA"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1880</w:t>
            </w:r>
          </w:p>
        </w:tc>
      </w:tr>
      <w:tr w:rsidR="00B62810" w14:paraId="4E9E2E61" w14:textId="77777777" w:rsidTr="00BA4E70">
        <w:trPr>
          <w:trHeight w:val="255"/>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7BD670E"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Ameryka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8278064"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150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4E756347"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86E8AAA"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3CA5681"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140</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46555EC"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110</w:t>
            </w:r>
          </w:p>
        </w:tc>
      </w:tr>
      <w:tr w:rsidR="00B62810" w14:paraId="3DCF1F17" w14:textId="77777777" w:rsidTr="00BA4E70">
        <w:trPr>
          <w:trHeight w:val="204"/>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5660B71"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Afryka</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6D1BD79"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100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75EB97A"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7FE5417"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2ECB6DF"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E304B8D"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r>
      <w:tr w:rsidR="00B62810" w14:paraId="68D57437" w14:textId="77777777" w:rsidTr="00BA4E70">
        <w:trPr>
          <w:trHeight w:val="255"/>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4DE8780B"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Azja i Oceania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A520ACC"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360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87514EA"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180</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EB048EB"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BEA5F7F"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130</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95E7C5A"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290</w:t>
            </w:r>
          </w:p>
        </w:tc>
      </w:tr>
      <w:tr w:rsidR="00B62810" w14:paraId="34CCF37F" w14:textId="77777777" w:rsidTr="00BA4E70">
        <w:trPr>
          <w:trHeight w:val="219"/>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FD854EB"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Chorwacja</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93EADA4"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130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4982021"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B156AA2"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FA877C2"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D071C14"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r>
      <w:tr w:rsidR="00B62810" w14:paraId="6C7130B0" w14:textId="77777777" w:rsidTr="00BA4E70">
        <w:trPr>
          <w:trHeight w:val="325"/>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5A62CDF"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Dania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431449C4"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110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C5ECD79"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BFDA307"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2C6417FD"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100</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6F91396"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r>
      <w:tr w:rsidR="00B62810" w14:paraId="439DC530" w14:textId="77777777" w:rsidTr="00BA4E70">
        <w:trPr>
          <w:trHeight w:val="389"/>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D65CFEA" w14:textId="77777777" w:rsidR="00B62810" w:rsidRDefault="007A0F62">
            <w:pPr>
              <w:pStyle w:val="Tre"/>
            </w:pPr>
            <w:r>
              <w:rPr>
                <w:rStyle w:val="Brak"/>
                <w:rFonts w:ascii="Cambria" w:hAnsi="Cambria"/>
                <w:b/>
                <w:bCs/>
                <w:lang w:val="es-ES_tradnl"/>
                <w14:textOutline w14:w="12700" w14:cap="flat" w14:cmpd="sng" w14:algn="ctr">
                  <w14:noFill/>
                  <w14:prstDash w14:val="solid"/>
                  <w14:miter w14:lim="400000"/>
                </w14:textOutline>
              </w:rPr>
              <w:t>Estonia</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5E62723"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1800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9784F77"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780</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78D7BB3"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530</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9CF320F"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1380</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CC02D7D"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1540</w:t>
            </w:r>
          </w:p>
        </w:tc>
      </w:tr>
      <w:tr w:rsidR="00B62810" w14:paraId="54DC4ECB" w14:textId="77777777" w:rsidTr="00BA4E70">
        <w:trPr>
          <w:trHeight w:val="241"/>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6A2A5CC"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Francja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8BF310A"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160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9C933BC"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6D28ABE"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26214D87"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150</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6A7F7DA"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160</w:t>
            </w:r>
          </w:p>
        </w:tc>
      </w:tr>
      <w:tr w:rsidR="00B62810" w14:paraId="005726DF" w14:textId="77777777" w:rsidTr="00BA4E70">
        <w:trPr>
          <w:trHeight w:val="205"/>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2C7B177"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Niemcy</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1EFF566" w14:textId="77777777" w:rsidR="00B62810" w:rsidRDefault="007A0F62">
            <w:pPr>
              <w:pStyle w:val="Tre"/>
              <w:suppressAutoHyphens/>
              <w:jc w:val="center"/>
              <w:outlineLvl w:val="0"/>
            </w:pPr>
            <w:r>
              <w:rPr>
                <w:rStyle w:val="Brak"/>
                <w:rFonts w:ascii="Cambria" w:hAnsi="Cambria"/>
                <w:lang w:val="ru-RU"/>
                <w14:textOutline w14:w="12700" w14:cap="flat" w14:cmpd="sng" w14:algn="ctr">
                  <w14:noFill/>
                  <w14:prstDash w14:val="solid"/>
                  <w14:miter w14:lim="400000"/>
                </w14:textOutline>
              </w:rPr>
              <w:t>340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DA63BB8"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D4DF0BC"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21955E8"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210</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10177A1"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250</w:t>
            </w:r>
          </w:p>
        </w:tc>
      </w:tr>
      <w:tr w:rsidR="00B62810" w14:paraId="4A5CA1FC" w14:textId="77777777" w:rsidTr="00BA4E70">
        <w:trPr>
          <w:trHeight w:val="183"/>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2A7AE226"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Grecja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47429AEE"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250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13E7D7E"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5612D3B"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C10FDD5"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290</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62E6C691"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380</w:t>
            </w:r>
          </w:p>
        </w:tc>
      </w:tr>
      <w:tr w:rsidR="00B62810" w14:paraId="0B8551F1" w14:textId="77777777" w:rsidTr="00BA4E70">
        <w:trPr>
          <w:trHeight w:val="133"/>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EBF1D4E" w14:textId="77777777" w:rsidR="00B62810" w:rsidRDefault="007A0F62">
            <w:pPr>
              <w:pStyle w:val="Tre"/>
            </w:pPr>
            <w:r>
              <w:rPr>
                <w:rStyle w:val="Brak"/>
                <w:rFonts w:ascii="Cambria" w:hAnsi="Cambria"/>
                <w:b/>
                <w:bCs/>
                <w:lang w:val="de-DE"/>
                <w14:textOutline w14:w="12700" w14:cap="flat" w14:cmpd="sng" w14:algn="ctr">
                  <w14:noFill/>
                  <w14:prstDash w14:val="solid"/>
                  <w14:miter w14:lim="400000"/>
                </w14:textOutline>
              </w:rPr>
              <w:t>W</w:t>
            </w:r>
            <w:proofErr w:type="spellStart"/>
            <w:r>
              <w:rPr>
                <w:rStyle w:val="Brak"/>
                <w:rFonts w:ascii="Cambria" w:hAnsi="Cambria"/>
                <w:b/>
                <w:bCs/>
                <w14:textOutline w14:w="12700" w14:cap="flat" w14:cmpd="sng" w14:algn="ctr">
                  <w14:noFill/>
                  <w14:prstDash w14:val="solid"/>
                  <w14:miter w14:lim="400000"/>
                </w14:textOutline>
              </w:rPr>
              <w:t>łochy</w:t>
            </w:r>
            <w:proofErr w:type="spellEnd"/>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4D43497"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300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BF27D57"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0BF4F71"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6577DEA"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250</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5864803"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310</w:t>
            </w:r>
          </w:p>
        </w:tc>
      </w:tr>
      <w:tr w:rsidR="00B62810" w14:paraId="225FC3D8" w14:textId="77777777" w:rsidTr="00BA4E70">
        <w:trPr>
          <w:trHeight w:val="239"/>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4A53C88"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Łotwa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220FE6CE"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140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716258E"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110</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7ABA5AF"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EFFF008"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BA84B5C"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110</w:t>
            </w:r>
          </w:p>
        </w:tc>
      </w:tr>
      <w:tr w:rsidR="00B62810" w14:paraId="14442B20" w14:textId="77777777" w:rsidTr="00BA4E70">
        <w:trPr>
          <w:trHeight w:val="203"/>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EE8EA84"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Holandia</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879BADE"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102CC96"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36F6C95"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4A58505"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100</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CECD215"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100</w:t>
            </w:r>
          </w:p>
        </w:tc>
      </w:tr>
      <w:tr w:rsidR="00B62810" w14:paraId="4A69AA64" w14:textId="77777777" w:rsidTr="00BA4E70">
        <w:trPr>
          <w:trHeight w:val="167"/>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63726A5"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Norwegia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CD24E5F"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240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B1588D4"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130</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42ED939"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24503FFE"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220</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5B3B669"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270</w:t>
            </w:r>
          </w:p>
        </w:tc>
      </w:tr>
      <w:tr w:rsidR="00B62810" w14:paraId="65503EFE" w14:textId="77777777" w:rsidTr="00BA4E70">
        <w:trPr>
          <w:trHeight w:val="131"/>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2BAACC6"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Polska</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E82F7BA" w14:textId="77777777" w:rsidR="00B62810" w:rsidRDefault="007A0F62">
            <w:pPr>
              <w:pStyle w:val="DomylneA"/>
              <w:spacing w:before="0" w:line="240" w:lineRule="auto"/>
              <w:jc w:val="center"/>
            </w:pPr>
            <w:r>
              <w:rPr>
                <w:rStyle w:val="Brak"/>
                <w:rFonts w:ascii="Cambria" w:hAnsi="Cambria"/>
                <w:b/>
                <w:bCs/>
                <w:u w:color="000000"/>
              </w:rPr>
              <w:t>160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1668591" w14:textId="77777777" w:rsidR="00B62810" w:rsidRDefault="007A0F62">
            <w:pPr>
              <w:pStyle w:val="Tre"/>
              <w:jc w:val="center"/>
            </w:pPr>
            <w:r>
              <w:rPr>
                <w:rStyle w:val="Brak"/>
                <w:rFonts w:ascii="Cambria" w:hAnsi="Cambria"/>
                <w:b/>
                <w:bCs/>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51EF434" w14:textId="77777777" w:rsidR="00B62810" w:rsidRDefault="007A0F62">
            <w:pPr>
              <w:pStyle w:val="Tre"/>
              <w:jc w:val="center"/>
            </w:pPr>
            <w:r>
              <w:rPr>
                <w:rStyle w:val="Brak"/>
                <w:rFonts w:ascii="Cambria" w:hAnsi="Cambria"/>
                <w:b/>
                <w:bCs/>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F8B3146" w14:textId="77777777" w:rsidR="00B62810" w:rsidRDefault="007A0F62">
            <w:pPr>
              <w:pStyle w:val="Tre"/>
              <w:jc w:val="center"/>
            </w:pPr>
            <w:r>
              <w:rPr>
                <w:rStyle w:val="Brak"/>
                <w:rFonts w:ascii="Cambria" w:hAnsi="Cambria"/>
                <w:b/>
                <w:bCs/>
                <w14:textOutline w14:w="12700" w14:cap="flat" w14:cmpd="sng" w14:algn="ctr">
                  <w14:noFill/>
                  <w14:prstDash w14:val="solid"/>
                  <w14:miter w14:lim="400000"/>
                </w14:textOutline>
              </w:rPr>
              <w:t>.</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9EE4816" w14:textId="77777777" w:rsidR="00B62810" w:rsidRDefault="007A0F62">
            <w:pPr>
              <w:pStyle w:val="DomylneA"/>
              <w:spacing w:before="0" w:line="240" w:lineRule="auto"/>
              <w:jc w:val="center"/>
            </w:pPr>
            <w:r>
              <w:rPr>
                <w:rStyle w:val="Brak"/>
                <w:rFonts w:ascii="Cambria" w:hAnsi="Cambria"/>
                <w:b/>
                <w:bCs/>
                <w:u w:color="000000"/>
              </w:rPr>
              <w:t>100</w:t>
            </w:r>
          </w:p>
        </w:tc>
      </w:tr>
      <w:tr w:rsidR="00B62810" w14:paraId="6AEB8C1A" w14:textId="77777777" w:rsidTr="00BA4E70">
        <w:trPr>
          <w:trHeight w:val="237"/>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28D8FA8" w14:textId="77777777" w:rsidR="00B62810" w:rsidRDefault="007A0F62">
            <w:pPr>
              <w:pStyle w:val="Tre"/>
            </w:pPr>
            <w:r>
              <w:rPr>
                <w:rStyle w:val="Brak"/>
                <w:rFonts w:ascii="Cambria" w:hAnsi="Cambria"/>
                <w:b/>
                <w:bCs/>
                <w:lang w:val="pt-PT"/>
                <w14:textOutline w14:w="12700" w14:cap="flat" w14:cmpd="sng" w14:algn="ctr">
                  <w14:noFill/>
                  <w14:prstDash w14:val="solid"/>
                  <w14:miter w14:lim="400000"/>
                </w14:textOutline>
              </w:rPr>
              <w:t>Portugalia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BCD03C3"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110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2316209D"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22EDF989"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E8AAFB9"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110</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49841377"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130</w:t>
            </w:r>
          </w:p>
        </w:tc>
      </w:tr>
      <w:tr w:rsidR="00B62810" w14:paraId="06D47705" w14:textId="77777777" w:rsidTr="00BA4E70">
        <w:trPr>
          <w:trHeight w:val="343"/>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96AB369"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Rosja</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D71A7A0"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390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C386EDB"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C019735"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412A950"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AF652D4"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r>
      <w:tr w:rsidR="00B62810" w14:paraId="6417570A" w14:textId="77777777" w:rsidTr="00BA4E70">
        <w:trPr>
          <w:trHeight w:val="379"/>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FE6B2CA"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Hiszpania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065BD28"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670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A169634"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250</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F8D074F"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210</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05E20F1" w14:textId="77777777" w:rsidR="00B62810" w:rsidRDefault="007A0F62">
            <w:pPr>
              <w:pStyle w:val="Tre"/>
              <w:suppressAutoHyphens/>
              <w:jc w:val="center"/>
              <w:outlineLvl w:val="0"/>
            </w:pPr>
            <w:r>
              <w:rPr>
                <w:rStyle w:val="Brak"/>
                <w:rFonts w:ascii="Cambria" w:hAnsi="Cambria"/>
                <w:lang w:val="ru-RU"/>
                <w14:textOutline w14:w="12700" w14:cap="flat" w14:cmpd="sng" w14:algn="ctr">
                  <w14:noFill/>
                  <w14:prstDash w14:val="solid"/>
                  <w14:miter w14:lim="400000"/>
                </w14:textOutline>
              </w:rPr>
              <w:t>570</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6227CB7"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790</w:t>
            </w:r>
          </w:p>
        </w:tc>
      </w:tr>
      <w:tr w:rsidR="00B62810" w14:paraId="55AFC7D0" w14:textId="77777777" w:rsidTr="00BA4E70">
        <w:trPr>
          <w:trHeight w:val="259"/>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E730BB2"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Szwecja</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E94AF8A"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1730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91F0EFC"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300</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78EA8D1"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500</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6EF60DF"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1040</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8642A19"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1370</w:t>
            </w:r>
          </w:p>
        </w:tc>
      </w:tr>
      <w:tr w:rsidR="00B62810" w14:paraId="234EB787" w14:textId="77777777" w:rsidTr="00BA4E70">
        <w:trPr>
          <w:trHeight w:val="209"/>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3916262"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Tajlandia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B78320E"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120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D24FE82"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2F447647"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07A4C58"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1ECFC1E9"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100</w:t>
            </w:r>
          </w:p>
        </w:tc>
      </w:tr>
      <w:tr w:rsidR="00B62810" w14:paraId="7EB3ABA3" w14:textId="77777777" w:rsidTr="00BA4E70">
        <w:trPr>
          <w:trHeight w:val="187"/>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DE36C25"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Turcja</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8B88076"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130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925117A"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E1C2A4C"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98F6932"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100</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6DC376DB"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100</w:t>
            </w:r>
          </w:p>
        </w:tc>
      </w:tr>
      <w:tr w:rsidR="00B62810" w14:paraId="64B959CB" w14:textId="77777777" w:rsidTr="00BA4E70">
        <w:trPr>
          <w:trHeight w:val="293"/>
        </w:trPr>
        <w:tc>
          <w:tcPr>
            <w:tcW w:w="2581"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4DCC84A0"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Wielka Brytania</w:t>
            </w:r>
          </w:p>
        </w:tc>
        <w:tc>
          <w:tcPr>
            <w:tcW w:w="116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A08C412"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200</w:t>
            </w:r>
          </w:p>
        </w:tc>
        <w:tc>
          <w:tcPr>
            <w:tcW w:w="1199"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D56A720"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056667F"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DA6D0F5"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170</w:t>
            </w:r>
          </w:p>
        </w:tc>
        <w:tc>
          <w:tcPr>
            <w:tcW w:w="127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53AB1109"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200</w:t>
            </w:r>
          </w:p>
        </w:tc>
      </w:tr>
      <w:tr w:rsidR="00B62810" w14:paraId="66AA3AF8" w14:textId="77777777" w:rsidTr="00BA4E70">
        <w:trPr>
          <w:trHeight w:val="228"/>
        </w:trPr>
        <w:tc>
          <w:tcPr>
            <w:tcW w:w="2581"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5B6B6C2" w14:textId="77777777" w:rsidR="00B62810" w:rsidRDefault="007A0F62">
            <w:pPr>
              <w:pStyle w:val="Tre"/>
            </w:pPr>
            <w:r>
              <w:rPr>
                <w:rStyle w:val="Brak"/>
                <w:rFonts w:ascii="Cambria" w:hAnsi="Cambria"/>
                <w:b/>
                <w:bCs/>
                <w14:textOutline w14:w="12700" w14:cap="flat" w14:cmpd="sng" w14:algn="ctr">
                  <w14:noFill/>
                  <w14:prstDash w14:val="solid"/>
                  <w14:miter w14:lim="400000"/>
                </w14:textOutline>
              </w:rPr>
              <w:t>USA</w:t>
            </w:r>
          </w:p>
        </w:tc>
        <w:tc>
          <w:tcPr>
            <w:tcW w:w="116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D8E0D8A"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100</w:t>
            </w:r>
          </w:p>
        </w:tc>
        <w:tc>
          <w:tcPr>
            <w:tcW w:w="1199"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DAA318A"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420"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53B3CC5"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c>
          <w:tcPr>
            <w:tcW w:w="128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5C972FE6" w14:textId="77777777" w:rsidR="00B62810" w:rsidRDefault="007A0F62">
            <w:pPr>
              <w:pStyle w:val="Tre"/>
              <w:suppressAutoHyphens/>
              <w:jc w:val="center"/>
              <w:outlineLvl w:val="0"/>
            </w:pPr>
            <w:r>
              <w:rPr>
                <w:rStyle w:val="Brak"/>
                <w:rFonts w:ascii="Cambria" w:hAnsi="Cambria"/>
                <w14:textOutline w14:w="12700" w14:cap="flat" w14:cmpd="sng" w14:algn="ctr">
                  <w14:noFill/>
                  <w14:prstDash w14:val="solid"/>
                  <w14:miter w14:lim="400000"/>
                </w14:textOutline>
              </w:rPr>
              <w:t>110</w:t>
            </w:r>
          </w:p>
        </w:tc>
        <w:tc>
          <w:tcPr>
            <w:tcW w:w="127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2F157EB2" w14:textId="77777777" w:rsidR="00B62810" w:rsidRDefault="007A0F62">
            <w:pPr>
              <w:pStyle w:val="Tre"/>
              <w:jc w:val="center"/>
            </w:pPr>
            <w:r>
              <w:rPr>
                <w:rStyle w:val="Brak"/>
                <w:rFonts w:ascii="Cambria" w:hAnsi="Cambria"/>
                <w14:textOutline w14:w="12700" w14:cap="flat" w14:cmpd="sng" w14:algn="ctr">
                  <w14:noFill/>
                  <w14:prstDash w14:val="solid"/>
                  <w14:miter w14:lim="400000"/>
                </w14:textOutline>
              </w:rPr>
              <w:t>.</w:t>
            </w:r>
          </w:p>
        </w:tc>
      </w:tr>
    </w:tbl>
    <w:p w14:paraId="4FBFCED2" w14:textId="77777777" w:rsidR="00B62810" w:rsidRDefault="007A0F62">
      <w:pPr>
        <w:pStyle w:val="WordDefaultStyleA"/>
        <w:jc w:val="left"/>
      </w:pPr>
      <w:r>
        <w:rPr>
          <w:rStyle w:val="BrakA"/>
        </w:rPr>
        <w:t xml:space="preserve">Źródło: </w:t>
      </w:r>
      <w:r w:rsidR="00BA4E70">
        <w:fldChar w:fldCharType="begin"/>
      </w:r>
      <w:r w:rsidR="00BA4E70">
        <w:instrText>HYPERLINK "http://www.stat.fi/"</w:instrText>
      </w:r>
      <w:r w:rsidR="00BA4E70">
        <w:fldChar w:fldCharType="separate"/>
      </w:r>
      <w:r>
        <w:rPr>
          <w:rStyle w:val="Hyperlink5"/>
        </w:rPr>
        <w:t>www.stat.fi</w:t>
      </w:r>
      <w:r w:rsidR="00BA4E70">
        <w:rPr>
          <w:rStyle w:val="Hyperlink5"/>
        </w:rPr>
        <w:fldChar w:fldCharType="end"/>
      </w:r>
    </w:p>
    <w:p w14:paraId="0C6E1C25" w14:textId="77777777" w:rsidR="00B62810" w:rsidRDefault="00B62810">
      <w:pPr>
        <w:pStyle w:val="WordDefaultStyleA"/>
        <w:jc w:val="left"/>
        <w:rPr>
          <w:rStyle w:val="BrakA"/>
        </w:rPr>
      </w:pPr>
    </w:p>
    <w:p w14:paraId="773A6059" w14:textId="77777777" w:rsidR="00B62810" w:rsidRDefault="007A0F62">
      <w:pPr>
        <w:pStyle w:val="WordDefaultStyleA"/>
        <w:jc w:val="left"/>
      </w:pPr>
      <w:r>
        <w:rPr>
          <w:rStyle w:val="BrakA"/>
        </w:rPr>
        <w:t>Powyższa tabela potwierdza dość znaczące zmniejszenie się podróży do Polski ale podobny trend obserwujemy w zasadzie w większości destynacji poza Europą Południową i Środkowym Wschodem, gdzie liczba podróży przekroczyła wartości przedpandemiczne. Zmniejszony ruch do Polski z Finlandii to przede wszystkim wynik niewielkiej oferty przelotów do naszego kraju.</w:t>
      </w:r>
      <w:r>
        <w:rPr>
          <w:rStyle w:val="BrakA"/>
          <w:rFonts w:ascii="Arial Unicode MS" w:hAnsi="Arial Unicode MS"/>
        </w:rPr>
        <w:br w:type="page"/>
      </w:r>
    </w:p>
    <w:p w14:paraId="158F3D48" w14:textId="77777777" w:rsidR="00B62810" w:rsidRDefault="007A0F62">
      <w:pPr>
        <w:pStyle w:val="BodyA"/>
        <w:keepNext/>
        <w:shd w:val="clear" w:color="auto" w:fill="548DD4"/>
        <w:spacing w:after="60" w:line="276" w:lineRule="auto"/>
        <w:ind w:right="142"/>
      </w:pPr>
      <w:bookmarkStart w:id="6" w:name="_headingh.3znysh7"/>
      <w:bookmarkStart w:id="7" w:name="_Toc3"/>
      <w:bookmarkEnd w:id="6"/>
      <w:r>
        <w:rPr>
          <w:rStyle w:val="Brak"/>
          <w:rFonts w:ascii="Cambria" w:hAnsi="Cambria"/>
          <w:b/>
          <w:bCs/>
          <w:color w:val="FFFFFF"/>
          <w:sz w:val="28"/>
          <w:szCs w:val="28"/>
        </w:rPr>
        <w:t>4. Połączenia transportowe</w:t>
      </w:r>
      <w:bookmarkEnd w:id="7"/>
    </w:p>
    <w:p w14:paraId="332EABE1" w14:textId="77777777" w:rsidR="00B62810" w:rsidRDefault="00B62810">
      <w:pPr>
        <w:pStyle w:val="BodyA"/>
        <w:rPr>
          <w:rStyle w:val="Brak"/>
          <w:rFonts w:ascii="Cambria" w:eastAsia="Cambria" w:hAnsi="Cambria" w:cs="Cambria"/>
          <w:b/>
          <w:bCs/>
          <w:color w:val="FFFFFF"/>
          <w:sz w:val="28"/>
          <w:szCs w:val="28"/>
        </w:rPr>
      </w:pPr>
    </w:p>
    <w:p w14:paraId="20849D79" w14:textId="77777777" w:rsidR="00B62810" w:rsidRDefault="007A0F62" w:rsidP="00BA4E70">
      <w:pPr>
        <w:pStyle w:val="WordDefaultStyleA"/>
      </w:pPr>
      <w:r>
        <w:rPr>
          <w:rStyle w:val="BrakA"/>
        </w:rPr>
        <w:t>Przed wybuchem pandemii kraje nordyckie były bardzo dobrze skomunikowane z Polską – przede wszystkich za pośrednictwem transportu lotniczego. Rekordowa pod tym względem Norwegia miała do dyspozycji ponad 50 bezpośrednich połączeń między stolicą kraju i wszystkimi ważnymi ośrodkami na wybrzeżu zachodnim a wszystkimi portami lotniczymi w Polsce. Również z trzech największych ośrodków miejskich w Szwecji można było dolecieć do prawie wszystkich portów w naszym kraju. Dania miała do dyspozycji nie tylko wyloty z Kopenhagi, ale również z  dwóch największych lotnisk na Jutlandii, które docierały do 5-6 największych lotnisk w Polsce. Najmniej połączeń lotniczych było dotąd z Finlandii do Polski, ale i tu można było ze stolicy kraju dotrzeć do Gdańska, Warszawy i Krakowa a dodatkowo działało niskobudżetowe połączenie linii WizzAir z Turku do Gdańska.</w:t>
      </w:r>
    </w:p>
    <w:p w14:paraId="1A99F06B" w14:textId="77777777" w:rsidR="00B62810" w:rsidRDefault="00B62810" w:rsidP="00BA4E70">
      <w:pPr>
        <w:pStyle w:val="WordDefaultStyleA"/>
        <w:rPr>
          <w:rStyle w:val="BrakA"/>
        </w:rPr>
      </w:pPr>
    </w:p>
    <w:p w14:paraId="1EA8FAF6" w14:textId="77777777" w:rsidR="00B62810" w:rsidRDefault="007A0F62" w:rsidP="00BA4E70">
      <w:pPr>
        <w:pStyle w:val="WordDefaultStyleA"/>
      </w:pPr>
      <w:r>
        <w:rPr>
          <w:rStyle w:val="BrakA"/>
        </w:rPr>
        <w:t xml:space="preserve">Wyżej wspomniane trasy obsługiwały samoloty zarówno linii z sojuszu Star Alliance, czyli Polskie Linie Lotnicze LOT, Skandynawskie Linie Lotnicze SAS i fiński Finnair jak i przewoźnicy niskobudżetowi: Norwegian Air Shuttle, WizzAir i Ryan Air. </w:t>
      </w:r>
    </w:p>
    <w:p w14:paraId="53B06AC9" w14:textId="77777777" w:rsidR="00B62810" w:rsidRDefault="00B62810" w:rsidP="00BA4E70">
      <w:pPr>
        <w:pStyle w:val="WordDefaultStyleA"/>
        <w:rPr>
          <w:rStyle w:val="BrakA"/>
        </w:rPr>
      </w:pPr>
    </w:p>
    <w:p w14:paraId="31FD7C6F" w14:textId="77777777" w:rsidR="00B62810" w:rsidRDefault="007A0F62" w:rsidP="00BA4E70">
      <w:pPr>
        <w:pStyle w:val="WordDefaultStyleA"/>
      </w:pPr>
      <w:r>
        <w:rPr>
          <w:rStyle w:val="BrakA"/>
        </w:rPr>
        <w:t>Niestety w pierwszym postpandemicznym roku, siatka połączeń lotniczych odbudowywała się bardzo powoli i niestabilnie. Powodem były między innymi działania wojenne w Ukrainie, które miały zdecydowany wpływ na popyt na bilety lotnicze do Polski ale również brak dostatecznej liczby samolotów, wystarczających zasobów kadrowych do ich obsługi oraz pracowników naziemnych, odpowiedzialnych za sprawne funkcjonowanie lotnisk. Rok 2023 przyniósł w tym zakresie niewiele widocznych zmian a raczej ustabilizował sytuację w zakresie siatki transportowej.</w:t>
      </w:r>
    </w:p>
    <w:p w14:paraId="649B78E0" w14:textId="77777777" w:rsidR="00B62810" w:rsidRDefault="00B62810" w:rsidP="00BA4E70">
      <w:pPr>
        <w:pStyle w:val="WordDefaultStyleA"/>
        <w:rPr>
          <w:rStyle w:val="BrakA"/>
        </w:rPr>
      </w:pPr>
    </w:p>
    <w:p w14:paraId="3B791F50" w14:textId="77777777" w:rsidR="00B62810" w:rsidRDefault="007A0F62" w:rsidP="00BA4E70">
      <w:pPr>
        <w:pStyle w:val="WordDefaultStyleA"/>
        <w:numPr>
          <w:ilvl w:val="0"/>
          <w:numId w:val="7"/>
        </w:numPr>
      </w:pPr>
      <w:r>
        <w:rPr>
          <w:rStyle w:val="BrakA"/>
        </w:rPr>
        <w:t>Szwecja</w:t>
      </w:r>
    </w:p>
    <w:p w14:paraId="30B31628" w14:textId="77777777" w:rsidR="00B62810" w:rsidRDefault="007A0F62" w:rsidP="00BA4E70">
      <w:pPr>
        <w:pStyle w:val="WordDefaultStyleA"/>
      </w:pPr>
      <w:r>
        <w:rPr>
          <w:rStyle w:val="BrakA"/>
        </w:rPr>
        <w:t>W 2022 roku z czterech głównych portów (Sztokholm Arlanda i Skavsta, Göteborg i Malmö) można było, zarówno wykorzystując zarówno przewoźników regularnych jak i niskobudżetowych, dotrzeć do Gdańska, Krakowa i Warszawy. Ponadto Katowice były obsługiwane przez WizzAir ze Skavsta i Malmö, a Wrocław tylko ze Skavsta. Do Poznania można było dolecieć ze stołecznego lotniska Arlanda dzięki liniom lotniczym RyanAir, które od sezonu jesienno-zimowego 2022/2023 przeniosły tam swoją bazę z oddalonego o ponad 100 km portu Sztokholm Skavsta.</w:t>
      </w:r>
    </w:p>
    <w:p w14:paraId="6165CB0E" w14:textId="77777777" w:rsidR="00B62810" w:rsidRDefault="007A0F62" w:rsidP="00BA4E70">
      <w:pPr>
        <w:pStyle w:val="WordDefaultStyleA"/>
      </w:pPr>
      <w:r>
        <w:rPr>
          <w:rStyle w:val="BrakA"/>
        </w:rPr>
        <w:t>Nasz narodowy przewoźnik, obok funkcjonującej nieprzerwanie linii transportowej miedzy stolicami obu krajów, uruchomił ponownie połączenie Göteborg-Warszawa jesienią 2022 roku.</w:t>
      </w:r>
    </w:p>
    <w:p w14:paraId="192BBFB7" w14:textId="77777777" w:rsidR="00B62810" w:rsidRDefault="007A0F62" w:rsidP="00BA4E70">
      <w:pPr>
        <w:pStyle w:val="WordDefaultStyleA"/>
      </w:pPr>
      <w:r>
        <w:rPr>
          <w:rStyle w:val="BrakA"/>
        </w:rPr>
        <w:t>Niestety w 2023 roku zniknęły z siatki połączeń loty do Poznania, Katowic i Wrocławia - to ostatnie połączenie ze stolicą Szwecji powróciło dopiero w grudniu 2023.</w:t>
      </w:r>
    </w:p>
    <w:p w14:paraId="3E668AF9" w14:textId="77777777" w:rsidR="00B62810" w:rsidRDefault="00B62810" w:rsidP="00BA4E70">
      <w:pPr>
        <w:pStyle w:val="WordDefaultStyleA"/>
        <w:rPr>
          <w:rStyle w:val="BrakA"/>
        </w:rPr>
      </w:pPr>
    </w:p>
    <w:p w14:paraId="7EEE54D6" w14:textId="77777777" w:rsidR="00B62810" w:rsidRDefault="007A0F62" w:rsidP="00BA4E70">
      <w:pPr>
        <w:pStyle w:val="WordDefaultStyleA"/>
        <w:numPr>
          <w:ilvl w:val="0"/>
          <w:numId w:val="7"/>
        </w:numPr>
      </w:pPr>
      <w:r>
        <w:rPr>
          <w:rStyle w:val="BrakA"/>
        </w:rPr>
        <w:t xml:space="preserve">Norwegia </w:t>
      </w:r>
    </w:p>
    <w:p w14:paraId="1839828A" w14:textId="77777777" w:rsidR="00B62810" w:rsidRDefault="007A0F62" w:rsidP="00BA4E70">
      <w:pPr>
        <w:pStyle w:val="WordDefaultStyleA"/>
      </w:pPr>
      <w:r>
        <w:rPr>
          <w:rStyle w:val="BrakA"/>
        </w:rPr>
        <w:t xml:space="preserve">W 2022 roku najlepiej skomunikowany z norweskimi portami lotniczymi był Gdańsk, do którego, dzięki aktywności linii lotniczych WizzAir można było dotrzeć z głównego lotniska Oslo, niskobudżetowego Torp a także portów zachodniego wybrzeża kraju (Bergen, Trondheim, Tromsø, Ålesund). Ten trend utrzymał się także w 2023 roku. Najszerszą ofertą dolotów do Polski dysponowało wspomniane Oslo Torp – dzięki liniom Wizzair i RyanAir można było dolecieć także do Katowic, Krakowa, Lublina, Poznania, Szczecina, Warszawy i Wrocławia. 2023 przyniósł zamknięcie połączenia do Lublina. Najbardziej popularny przed pandemią przewoźnik norweski – Norwegian Air Shuttle w 2022 roku obsługiwał między innymi połączenia między stolicą a Gdańskiem, Krakowem, Szczecinem, Warszawą i Wrocławiem, między Bergen a Gdańskiem i Krakowem oraz z Trondheim do Krakowa. W 2023 zrezygnował z połączeń Oslo-Szczecin i Oslo-Wrocław. </w:t>
      </w:r>
    </w:p>
    <w:p w14:paraId="7151B814" w14:textId="77777777" w:rsidR="00B62810" w:rsidRDefault="007A0F62" w:rsidP="00BA4E70">
      <w:pPr>
        <w:pStyle w:val="WordDefaultStyleA"/>
      </w:pPr>
      <w:r>
        <w:rPr>
          <w:rStyle w:val="BrakA"/>
        </w:rPr>
        <w:t>Polskie Linie Lotnicze LOT zarówno w 2022 jak i 2023 latały na trasie Oslo-Warszawa.</w:t>
      </w:r>
    </w:p>
    <w:p w14:paraId="670FD033" w14:textId="77777777" w:rsidR="00B62810" w:rsidRDefault="00B62810" w:rsidP="00BA4E70">
      <w:pPr>
        <w:pStyle w:val="WordDefaultStyleA"/>
        <w:rPr>
          <w:rStyle w:val="BrakA"/>
        </w:rPr>
      </w:pPr>
    </w:p>
    <w:p w14:paraId="64B314F5" w14:textId="77777777" w:rsidR="00B62810" w:rsidRDefault="007A0F62" w:rsidP="00BA4E70">
      <w:pPr>
        <w:pStyle w:val="WordDefaultStyleA"/>
        <w:numPr>
          <w:ilvl w:val="0"/>
          <w:numId w:val="7"/>
        </w:numPr>
      </w:pPr>
      <w:r>
        <w:rPr>
          <w:rStyle w:val="BrakA"/>
        </w:rPr>
        <w:t>Dania</w:t>
      </w:r>
    </w:p>
    <w:p w14:paraId="4537F271" w14:textId="77777777" w:rsidR="00B62810" w:rsidRDefault="007A0F62" w:rsidP="00BA4E70">
      <w:pPr>
        <w:pStyle w:val="WordDefaultStyleA"/>
      </w:pPr>
      <w:r>
        <w:rPr>
          <w:rStyle w:val="BrakA"/>
        </w:rPr>
        <w:t>W 2022 roku zarówno główny port lotniczy czyli Kastrup w Kopenhadze jak i bardzo aktywne lotnisko Billund na duńskim Półwyspie Jutlandzkim oferowały możliwość podróży do Gdańska, Krakowa, Poznania i Warszawy, przy czym ze stolicy latały głównie Norwegian Air Shuttle, SAS i RyanAir a z Jutlandii Wizzair i Ryan Air. Narodowy przewoźnik obsługiwał oba wzmiankowane duńskie lotniska połączeniami do polskiej stolicy a jego ofertę na Jutlandii uzupełniał jeszcze Ryan Air z tamtejszego Århus. Sytuacja była stabilna również w 2023 roku.</w:t>
      </w:r>
    </w:p>
    <w:p w14:paraId="0E5CA10F" w14:textId="77777777" w:rsidR="00B62810" w:rsidRDefault="00B62810" w:rsidP="00BA4E70">
      <w:pPr>
        <w:pStyle w:val="WordDefaultStyleA"/>
        <w:rPr>
          <w:rStyle w:val="BrakA"/>
        </w:rPr>
      </w:pPr>
    </w:p>
    <w:p w14:paraId="129B8548" w14:textId="77777777" w:rsidR="00B62810" w:rsidRDefault="007A0F62" w:rsidP="00BA4E70">
      <w:pPr>
        <w:pStyle w:val="WordDefaultStyleA"/>
        <w:numPr>
          <w:ilvl w:val="0"/>
          <w:numId w:val="7"/>
        </w:numPr>
      </w:pPr>
      <w:r>
        <w:rPr>
          <w:rStyle w:val="BrakA"/>
        </w:rPr>
        <w:t>Finlandia</w:t>
      </w:r>
    </w:p>
    <w:p w14:paraId="7354E3E9" w14:textId="77777777" w:rsidR="00B62810" w:rsidRDefault="007A0F62" w:rsidP="00BA4E70">
      <w:pPr>
        <w:pStyle w:val="WordDefaultStyleA"/>
      </w:pPr>
      <w:r>
        <w:rPr>
          <w:rStyle w:val="BrakA"/>
        </w:rPr>
        <w:t>Nordycki kraj ze stosunkowo najsłabiej rozwiniętą siatką połączeń lotniczych oferował na koniec 2022 roku połączenia z Helsinek do Gdańska (Norwegian Air Shuttle), Krakowa (Norwegian Air Shuttle oraz fiński narodowy przewoźnik Finnair), Poznania (Ryan Air) oraz Warszawy (zarówno Finnair jak i Ryan Air). Niestety już na początku grudnia z rozkładu zniknęło połączenie między stolicą Finlandii i stolicą Pomorza, pozostawiając fińskim turystom jedynie opcję wylotu linią Wizzair z pobliskiego Turku. Na początku 2023 roku Ryan Air zamknął linię Helsinki-Poznań, która cieszyła się całkiem sporym zainteresowaniem Finów a następnie zlikwidował wszystkie połączenia między Finlandią i Polską. Do dyspozycji fińskich podróżników pozostały w 2023 roku tylko połączenia z Helsinek do Warszawy i Krakowa Finnairem i z Turku do Gdańska Wizzairem.</w:t>
      </w:r>
    </w:p>
    <w:p w14:paraId="1AB849CC" w14:textId="77777777" w:rsidR="00B62810" w:rsidRDefault="00B62810" w:rsidP="00BA4E70">
      <w:pPr>
        <w:pStyle w:val="WordDefaultStyleA"/>
        <w:rPr>
          <w:rStyle w:val="BrakA"/>
        </w:rPr>
      </w:pPr>
    </w:p>
    <w:p w14:paraId="2AF3DD2B" w14:textId="77777777" w:rsidR="00B62810" w:rsidRDefault="007A0F62" w:rsidP="00BA4E70">
      <w:pPr>
        <w:pStyle w:val="WordDefaultStyleA"/>
      </w:pPr>
      <w:r>
        <w:rPr>
          <w:rStyle w:val="BrakA"/>
        </w:rPr>
        <w:t>Alternatywą dla ruchu lotniczego były, działające regularnie w okresie całego 2022 i 2023 roku, połączenia promowe. Były to:</w:t>
      </w:r>
    </w:p>
    <w:p w14:paraId="68788E17" w14:textId="77777777" w:rsidR="00B62810" w:rsidRDefault="007A0F62" w:rsidP="00BA4E70">
      <w:pPr>
        <w:pStyle w:val="WordDefaultStyleA"/>
        <w:numPr>
          <w:ilvl w:val="0"/>
          <w:numId w:val="9"/>
        </w:numPr>
      </w:pPr>
      <w:r>
        <w:rPr>
          <w:rStyle w:val="BrakA"/>
        </w:rPr>
        <w:t>Polska Żegluga Bałtycka Polferries, która obsługiwała zarówno południe Szwecji jak i jej centrum. Ystad-Świnoujście łączyły trzy promy dziennie natomiast Nynäshamn-Gdańsk, po wprowadzeniu na linię leasingowanej jednostki Nova Star, kursował codziennie, w niskim sezonie poza niedzielą; Unity Line ‒ codzienne połączenie na trasie Ystad-Świnoujście;</w:t>
      </w:r>
    </w:p>
    <w:p w14:paraId="73EFEF87" w14:textId="77777777" w:rsidR="00B62810" w:rsidRDefault="007A0F62" w:rsidP="00BA4E70">
      <w:pPr>
        <w:pStyle w:val="WordDefaultStyleA"/>
        <w:numPr>
          <w:ilvl w:val="0"/>
          <w:numId w:val="9"/>
        </w:numPr>
      </w:pPr>
      <w:r>
        <w:rPr>
          <w:rStyle w:val="BrakA"/>
        </w:rPr>
        <w:t>Stena Line ‒ codzienne dwa połączenia na trasie Karlskrona-Gdynia, w sezonie letnim uruchamiano dodatkowy prom, przeznaczony na obsługę cargo, ale ze względu na zwiększone zainteresowanie obsługiwał on także pasażerów;</w:t>
      </w:r>
    </w:p>
    <w:p w14:paraId="56C512D1" w14:textId="77777777" w:rsidR="00B62810" w:rsidRDefault="007A0F62" w:rsidP="00BA4E70">
      <w:pPr>
        <w:pStyle w:val="WordDefaultStyleA"/>
        <w:numPr>
          <w:ilvl w:val="0"/>
          <w:numId w:val="9"/>
        </w:numPr>
      </w:pPr>
      <w:r>
        <w:rPr>
          <w:rStyle w:val="BrakA"/>
        </w:rPr>
        <w:t>TT Line ‒ codziennie dwa połączenia na trasie Trelleborg-Świnoujście.</w:t>
      </w:r>
    </w:p>
    <w:p w14:paraId="616FB0AB" w14:textId="77777777" w:rsidR="00B62810" w:rsidRDefault="00B62810" w:rsidP="00BA4E70">
      <w:pPr>
        <w:pStyle w:val="WordDefaultStyleA"/>
        <w:rPr>
          <w:rStyle w:val="BrakA"/>
        </w:rPr>
      </w:pPr>
    </w:p>
    <w:p w14:paraId="14D97AAC" w14:textId="77777777" w:rsidR="00B62810" w:rsidRDefault="007A0F62" w:rsidP="00BA4E70">
      <w:pPr>
        <w:pStyle w:val="WordDefaultStyleA"/>
      </w:pPr>
      <w:r>
        <w:rPr>
          <w:rStyle w:val="BrakA"/>
        </w:rPr>
        <w:t>Połączenia autobusowe, funkcjonujące całkiem sprawnie w 2019 roku, zostały częściowo przywrócone w już 2022 roku i na trasach do Szwecji, Norwegii i Danii kursowały pojazdy przewoźników takich jak Flixbus czy Sindbad. Ruch ten utrzymał się także w 2023 roku.</w:t>
      </w:r>
    </w:p>
    <w:p w14:paraId="7643D732" w14:textId="77777777" w:rsidR="00B62810" w:rsidRDefault="00B62810" w:rsidP="00BA4E70">
      <w:pPr>
        <w:pStyle w:val="WordDefaultStyleA"/>
        <w:rPr>
          <w:rStyle w:val="BrakA"/>
        </w:rPr>
      </w:pPr>
    </w:p>
    <w:p w14:paraId="23A39AA4" w14:textId="77777777" w:rsidR="00B62810" w:rsidRDefault="00B62810" w:rsidP="00BA4E70">
      <w:pPr>
        <w:pStyle w:val="WordDefaultStyleA"/>
        <w:rPr>
          <w:rStyle w:val="BrakA"/>
        </w:rPr>
      </w:pPr>
    </w:p>
    <w:p w14:paraId="56705A9F" w14:textId="77777777" w:rsidR="00B62810" w:rsidRDefault="00B62810" w:rsidP="00BA4E70">
      <w:pPr>
        <w:pStyle w:val="WordDefaultStyleA"/>
        <w:rPr>
          <w:rStyle w:val="BrakA"/>
        </w:rPr>
      </w:pPr>
    </w:p>
    <w:p w14:paraId="2F5165D2" w14:textId="77777777" w:rsidR="00B62810" w:rsidRDefault="007A0F62" w:rsidP="00BA4E70">
      <w:pPr>
        <w:pStyle w:val="WordDefaultStyleA"/>
      </w:pPr>
      <w:r>
        <w:rPr>
          <w:rStyle w:val="BrakA"/>
          <w:rFonts w:ascii="Arial Unicode MS" w:hAnsi="Arial Unicode MS"/>
        </w:rPr>
        <w:br w:type="page"/>
      </w:r>
    </w:p>
    <w:p w14:paraId="60BBFDE2" w14:textId="77777777" w:rsidR="00B62810" w:rsidRDefault="007A0F62" w:rsidP="00BA4E70">
      <w:pPr>
        <w:pStyle w:val="BodyA"/>
        <w:keepNext/>
        <w:shd w:val="clear" w:color="auto" w:fill="548DD4"/>
        <w:spacing w:after="60"/>
        <w:ind w:right="142"/>
        <w:jc w:val="both"/>
      </w:pPr>
      <w:bookmarkStart w:id="8" w:name="_headingh.2et92p0"/>
      <w:bookmarkStart w:id="9" w:name="_Toc4"/>
      <w:bookmarkEnd w:id="8"/>
      <w:r>
        <w:rPr>
          <w:rStyle w:val="Brak"/>
          <w:rFonts w:ascii="Cambria" w:hAnsi="Cambria"/>
          <w:b/>
          <w:bCs/>
          <w:color w:val="FFFFFF"/>
          <w:sz w:val="28"/>
          <w:szCs w:val="28"/>
        </w:rPr>
        <w:t>5. Popyt na polskie produkty turystyczne</w:t>
      </w:r>
      <w:bookmarkEnd w:id="9"/>
    </w:p>
    <w:p w14:paraId="2707A3B7" w14:textId="77777777" w:rsidR="00B62810" w:rsidRDefault="00B62810" w:rsidP="00BA4E70">
      <w:pPr>
        <w:pStyle w:val="BodyA"/>
        <w:spacing w:after="200"/>
        <w:jc w:val="both"/>
        <w:rPr>
          <w:rStyle w:val="Brak"/>
          <w:rFonts w:ascii="Cambria" w:eastAsia="Cambria" w:hAnsi="Cambria" w:cs="Cambria"/>
          <w:sz w:val="22"/>
          <w:szCs w:val="22"/>
          <w:u w:color="000000"/>
        </w:rPr>
      </w:pPr>
    </w:p>
    <w:p w14:paraId="6B206A6F" w14:textId="77777777" w:rsidR="00B62810" w:rsidRDefault="007A0F62" w:rsidP="00BA4E70">
      <w:pPr>
        <w:pStyle w:val="WordDefaultStyleA"/>
        <w:rPr>
          <w:rStyle w:val="BrakA"/>
        </w:rPr>
      </w:pPr>
      <w:r>
        <w:rPr>
          <w:rStyle w:val="BrakA"/>
        </w:rPr>
        <w:t xml:space="preserve">W świetle przedłużającego się konfliktu zbrojnego w Ukrainie oraz narastającego kryzysu ekonomicznego w krajach nordyckich polska oferta turystyczna była atrakcyjna głownie dla turystów indywidualnych, którzy dokonywali rezerwacji usług turystycznych bezpośrednio u przewoźników i na portalach rezerwacyjnych. Niestety – pomimo udziału w wielu warsztatach branżowych na terenie krajów nordyckich i zainteresowania lokalnej branży turystycznej ofertą polskich DMC i hoteli niewiele grup dotarło do Polski w analizowanym roku. Stąd trudno określić pobyt na konkretne produkty turystyczne, które cieszyły się większym zainteresowaniem niż inne. </w:t>
      </w:r>
    </w:p>
    <w:p w14:paraId="55A0250D" w14:textId="77777777" w:rsidR="00B62810" w:rsidRDefault="00B62810" w:rsidP="00BA4E70">
      <w:pPr>
        <w:pStyle w:val="WordDefaultStyleA"/>
        <w:rPr>
          <w:rStyle w:val="BrakA"/>
        </w:rPr>
      </w:pPr>
    </w:p>
    <w:p w14:paraId="7BBA3FF5" w14:textId="77777777" w:rsidR="00B62810" w:rsidRDefault="007A0F62" w:rsidP="00BA4E70">
      <w:pPr>
        <w:pStyle w:val="WordDefaultStyleA"/>
      </w:pPr>
      <w:r>
        <w:rPr>
          <w:rStyle w:val="Brak"/>
          <w:shd w:val="clear" w:color="auto" w:fill="FFFFFF"/>
        </w:rPr>
        <w:t>Biura podróży, które zostały umieszczone w sprawozdaniu jako te, które miały Polskę w swojej ofercie lub rozszerzyły działalność o nasz kierunek, wybrano na podstawie ich zainteresowania polskimi produktami turystycznymi na rok 2024. Biura te były w kontakcie z ZOPOT Sztokholm podczas warsztatów, zaproszeń na wyjazdy studyjne i spotkań promocyjnych. Z pozostałymi byliśmy w kontakcie podczas szykowania niniejszego opracowania. Zauważyliśmy także większe zainteresowanie Polską wśród fińskiej branży turystycznej.</w:t>
      </w:r>
    </w:p>
    <w:p w14:paraId="33348AD9" w14:textId="77777777" w:rsidR="00B62810" w:rsidRDefault="00B62810" w:rsidP="00BA4E70">
      <w:pPr>
        <w:pStyle w:val="WordDefaultStyleA"/>
        <w:rPr>
          <w:rStyle w:val="BrakA"/>
        </w:rPr>
      </w:pPr>
    </w:p>
    <w:p w14:paraId="01BF6F97" w14:textId="77777777" w:rsidR="00B62810" w:rsidRDefault="007A0F62" w:rsidP="00BA4E70">
      <w:pPr>
        <w:pStyle w:val="WordDefaultStyleA"/>
      </w:pPr>
      <w:r>
        <w:rPr>
          <w:rStyle w:val="BrakA"/>
        </w:rPr>
        <w:t>Wśród zapytań kierowanych do Zagranicznego Ośrodka Polskiej Organizacji Turystycznej w Sztokholmie zainteresowaniem cieszyły się przede wszystkim pobyty w dużych miastach, położonych dalej od polskiej wschodniej granicy a latem wypoczynek na plażach wybrzeża Morza Bałtyckiego i wspinaczki w Tatrach. Zapytania o wyjazdy w okolice Puszczy Białowieskiej, Zamościa Lublina, czy Rzeszowa pojawiły się dopiero w II połowie roku, mniejszym niż w okresie przedpandemicznym zainteresowaniem cieszyły się także Mazury.</w:t>
      </w:r>
    </w:p>
    <w:p w14:paraId="2828B5A5" w14:textId="77777777" w:rsidR="00B62810" w:rsidRDefault="00B62810" w:rsidP="00BA4E70">
      <w:pPr>
        <w:pStyle w:val="WordDefaultStyleA"/>
        <w:rPr>
          <w:rStyle w:val="BrakA"/>
        </w:rPr>
      </w:pPr>
    </w:p>
    <w:p w14:paraId="3CCD40DA" w14:textId="77777777" w:rsidR="00B62810" w:rsidRDefault="007A0F62" w:rsidP="00BA4E70">
      <w:pPr>
        <w:pStyle w:val="WordDefaultStyleA"/>
      </w:pPr>
      <w:r>
        <w:rPr>
          <w:rStyle w:val="BrakA"/>
        </w:rPr>
        <w:t>Z analizowanego wcześniej raportu trendów turystycznych Kairos Future możemy dowiedzieć się, że 6,7% Nordyków odwiedziło Polskę w okresie ostatnich 3 lat a 4,3% z tej grupy planuje do nas powrócić w ciągu następnych 3 lat. Najlepiej sytuacja wygląda w Norwegii – odwiedziło nas około 8,5% badanych i ponad 5% planuje odwiedzić Polskę ponownie; Szwecja odpowiednio 7,2% i 4,8%; Dania – prawie 5,7% odwiedzin i 3,8% powrotów i Finlandia - prawie 6% odwiedzin i 3,2% powrotów. Jednak Polska jest destynacją bliską, która dzięki rosnącej liczbie połączeń lotniczych, pozytywnym recenzjom dotychczasowych turystów, licznym działaniom wizerunkowym oraz dobrej ofercie w portalach rezerwacyjnych ma szansę na przyciągnięcie tego turysty, który nie potrzebuje dużo czasu do planowania wyjazdu.</w:t>
      </w:r>
    </w:p>
    <w:p w14:paraId="293DC7BC" w14:textId="77777777" w:rsidR="00B62810" w:rsidRDefault="00B62810" w:rsidP="00BA4E70">
      <w:pPr>
        <w:pStyle w:val="WordDefaultStyleA"/>
        <w:rPr>
          <w:rStyle w:val="BrakA"/>
        </w:rPr>
      </w:pPr>
    </w:p>
    <w:p w14:paraId="42243749" w14:textId="77777777" w:rsidR="00B62810" w:rsidRDefault="007A0F62" w:rsidP="00BA4E70">
      <w:pPr>
        <w:pStyle w:val="WordDefaultStyleA"/>
        <w:rPr>
          <w:rStyle w:val="BrakA"/>
        </w:rPr>
      </w:pPr>
      <w:r>
        <w:rPr>
          <w:rStyle w:val="BrakA"/>
        </w:rPr>
        <w:t xml:space="preserve">Profil potencjalnego nordyckiego turysty wygląda następująco: chętniej powrócą do nas mężczyźni niż kobiety i najchętniej grupy wiekowe 45-54 lata, 25-34 lata oraz 35-44 lata. Najmniej zainteresowania Polską jest w grupie  55+. Polska ma większą szansę obsłużyć turystę o średnich i wyższych dochodach (30 000 Euro rocznie i więcej) oraz tego, którego edukacja nie zakończyła się stopniem uniwersyteckim. Osoby podróżujące pojedynczo, pary bez dzieci, pary o wysokich dochodach oraz rodziny z dziećmi do 15 roku życia to potencjalni klienci, którzy zaprezentowali większą chęć ponownych odwiedzin naszego kraju w ciągu następnych 3 lat. </w:t>
      </w:r>
    </w:p>
    <w:p w14:paraId="0269CA02" w14:textId="77777777" w:rsidR="00B62810" w:rsidRDefault="007A0F62" w:rsidP="00BA4E70">
      <w:pPr>
        <w:pStyle w:val="WordDefaultStyleA"/>
      </w:pPr>
      <w:r>
        <w:rPr>
          <w:rStyle w:val="BrakA"/>
          <w:rFonts w:ascii="Arial Unicode MS" w:hAnsi="Arial Unicode MS"/>
        </w:rPr>
        <w:br w:type="page"/>
      </w:r>
    </w:p>
    <w:p w14:paraId="2F776414" w14:textId="77777777" w:rsidR="00B62810" w:rsidRDefault="007A0F62" w:rsidP="00BA4E70">
      <w:pPr>
        <w:pStyle w:val="BodyA"/>
        <w:keepNext/>
        <w:shd w:val="clear" w:color="auto" w:fill="548DD4"/>
        <w:spacing w:after="60"/>
        <w:ind w:right="142"/>
        <w:jc w:val="both"/>
      </w:pPr>
      <w:bookmarkStart w:id="10" w:name="_headingh.3dy6vkm"/>
      <w:bookmarkStart w:id="11" w:name="_Toc5"/>
      <w:bookmarkEnd w:id="10"/>
      <w:r>
        <w:rPr>
          <w:rStyle w:val="Brak"/>
          <w:rFonts w:ascii="Cambria" w:hAnsi="Cambria"/>
          <w:b/>
          <w:bCs/>
          <w:color w:val="FFFFFF"/>
          <w:sz w:val="28"/>
          <w:szCs w:val="28"/>
        </w:rPr>
        <w:t>6. Analiza zachowań konkurencji</w:t>
      </w:r>
      <w:bookmarkEnd w:id="11"/>
    </w:p>
    <w:p w14:paraId="12471356" w14:textId="77777777" w:rsidR="00B62810" w:rsidRDefault="00B62810" w:rsidP="00BA4E70">
      <w:pPr>
        <w:pStyle w:val="BodyA"/>
        <w:jc w:val="both"/>
        <w:rPr>
          <w:rStyle w:val="Brak"/>
          <w:rFonts w:ascii="Cambria" w:eastAsia="Cambria" w:hAnsi="Cambria" w:cs="Cambria"/>
          <w:sz w:val="22"/>
          <w:szCs w:val="22"/>
          <w:u w:color="000000"/>
          <w:shd w:val="clear" w:color="auto" w:fill="FFFFFF"/>
        </w:rPr>
      </w:pPr>
    </w:p>
    <w:p w14:paraId="4BBD79F9" w14:textId="77777777" w:rsidR="00B62810" w:rsidRDefault="007A0F62" w:rsidP="00BA4E70">
      <w:pPr>
        <w:pStyle w:val="WordDefaultStyleA"/>
      </w:pPr>
      <w:r>
        <w:rPr>
          <w:rStyle w:val="Brak"/>
          <w:shd w:val="clear" w:color="auto" w:fill="FFFFFF"/>
        </w:rPr>
        <w:t xml:space="preserve">Na terenie Szwecji swoją siedzibę ma około 50 Narodowych Organizacji Turystycznych, bądź placówek dyplomatycznych, zajmujących się również promocją turystyczną swoich krajów. Ponad 30 członków zrzesza Stowarzyszenie Przedstawicieli Narodowych Organizacji Turystycznych ANTOR oddział Szwecja. Stowarzyszenie działało zwykle bardzo aktywnie, w porównaniu z oddziałami na pozostałych rynkach skandynawskich, przed pandemią realizując rocznie dziewięć spotkań członków oraz dwa duże wydarzenia dla prasy i branży turystycznej. Dzięki częstej wymianie poglądów pogłębiała się wiedza pracowników Ośrodka na temat możliwości promocyjnych w Szwecji, negocjowane były niższe stawki udziału w ważniejszych wydarzeniach dla członków, a także możliwa była wymiana informacji na temat działalności placówek. </w:t>
      </w:r>
    </w:p>
    <w:p w14:paraId="3EFD13FB" w14:textId="77777777" w:rsidR="00B62810" w:rsidRDefault="00B62810">
      <w:pPr>
        <w:pStyle w:val="WordDefaultStyleA"/>
        <w:jc w:val="left"/>
        <w:rPr>
          <w:rStyle w:val="Brak"/>
          <w:shd w:val="clear" w:color="auto" w:fill="FFFFFF"/>
        </w:rPr>
      </w:pPr>
    </w:p>
    <w:p w14:paraId="0DF46BD0" w14:textId="77777777" w:rsidR="00B62810" w:rsidRDefault="007A0F62">
      <w:pPr>
        <w:pStyle w:val="WordDefaultStyleA"/>
        <w:jc w:val="left"/>
      </w:pPr>
      <w:r>
        <w:rPr>
          <w:rStyle w:val="Brak"/>
          <w:shd w:val="clear" w:color="auto" w:fill="FFFFFF"/>
        </w:rPr>
        <w:t>W 2023 roku, kontynuowaliśmy spotkania online, dzieląc się wiedzą na temat wydarzeń w naszych destynacjach i aktualizując wiedzę na temat sytuacji lokalnej branży turystycznej. Kontynuowaliśmy wspólne działania promocyjne w postaci udziału w warsztatach branżowych i organizacji spotkania z branżą i mediami pod nazwą Antor Meet The World w Sztokholmie oraz Antor on Tour w Göteborgu i Malmö.</w:t>
      </w:r>
    </w:p>
    <w:p w14:paraId="74D8C60D" w14:textId="77777777" w:rsidR="00B62810" w:rsidRDefault="00B62810">
      <w:pPr>
        <w:pStyle w:val="WordDefaultStyleA"/>
        <w:jc w:val="left"/>
        <w:rPr>
          <w:rStyle w:val="Brak"/>
          <w:shd w:val="clear" w:color="auto" w:fill="FFFFFF"/>
        </w:rPr>
      </w:pPr>
    </w:p>
    <w:p w14:paraId="3B32E978" w14:textId="77777777" w:rsidR="00B62810" w:rsidRDefault="007A0F62">
      <w:pPr>
        <w:pStyle w:val="WordDefaultStyleA"/>
        <w:jc w:val="left"/>
      </w:pPr>
      <w:r>
        <w:rPr>
          <w:rStyle w:val="Brak"/>
          <w:shd w:val="clear" w:color="auto" w:fill="FFFFFF"/>
        </w:rPr>
        <w:t xml:space="preserve">Niestety centralna Europa nie cieszyła się na tyle dużym zainteresowaniem, by skłonić tour operatorów do przygotowania oferty turystycznej. Pomimo wysiłków włożonych w organizację i udział w warsztatach branżowych, wysłanie licznej grupy przedstawicieli nordyckiej branży turystycznej na wyjazdy studyjne do Polski trudno było znaleźć programy wyjazdowe do Polski na witrynach biur podróży a zamówienia grupowe realizowały się w bardzo niewielkim stopniu. Podobne problemy napotykały w swoich działaniach promocyjnych organizacje turystyczne innych krajów regionu Europy Centralnej, np. Czechy, pomimo sporej odległości lokalnych atrakcji turystycznych od zarzewia ukraińskiego konfliktu. Dopiero koniec 2023 roku przyniósł więcej zapytań, czego potwierdzeniem było duże zainteresowanie Polską podczas pierwszej serii warsztatów na początku 2024 roku. </w:t>
      </w:r>
    </w:p>
    <w:p w14:paraId="2B33671A" w14:textId="77777777" w:rsidR="00B62810" w:rsidRDefault="007A0F62">
      <w:pPr>
        <w:pStyle w:val="BodyA"/>
      </w:pPr>
      <w:r>
        <w:rPr>
          <w:rStyle w:val="BrakA"/>
          <w:rFonts w:ascii="Arial Unicode MS" w:hAnsi="Arial Unicode MS"/>
        </w:rPr>
        <w:br w:type="page"/>
      </w:r>
    </w:p>
    <w:p w14:paraId="6E07275C" w14:textId="77777777" w:rsidR="00B62810" w:rsidRDefault="007A0F62">
      <w:pPr>
        <w:pStyle w:val="BodyA"/>
        <w:keepNext/>
        <w:shd w:val="clear" w:color="auto" w:fill="548DD4"/>
        <w:spacing w:after="60"/>
        <w:ind w:right="142"/>
      </w:pPr>
      <w:bookmarkStart w:id="12" w:name="_Toc6"/>
      <w:r>
        <w:rPr>
          <w:rStyle w:val="Brak"/>
          <w:rFonts w:ascii="Cambria" w:hAnsi="Cambria"/>
          <w:b/>
          <w:bCs/>
          <w:color w:val="FFFFFF"/>
          <w:sz w:val="28"/>
          <w:szCs w:val="28"/>
        </w:rPr>
        <w:t>7. Mierniki działań promocyjnych</w:t>
      </w:r>
      <w:bookmarkEnd w:id="12"/>
    </w:p>
    <w:tbl>
      <w:tblPr>
        <w:tblStyle w:val="TableNormal"/>
        <w:tblW w:w="9455"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5953"/>
        <w:gridCol w:w="1162"/>
        <w:gridCol w:w="504"/>
        <w:gridCol w:w="953"/>
        <w:gridCol w:w="457"/>
      </w:tblGrid>
      <w:tr w:rsidR="00B62810" w:rsidRPr="00BA4E70" w14:paraId="3F61D570" w14:textId="77777777" w:rsidTr="00BA4E70">
        <w:trPr>
          <w:trHeight w:val="300"/>
        </w:trPr>
        <w:tc>
          <w:tcPr>
            <w:tcW w:w="426"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37DE93D"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b/>
                <w:bCs/>
                <w:sz w:val="22"/>
                <w:szCs w:val="22"/>
                <w:u w:color="000000"/>
              </w:rPr>
              <w:t>LP</w:t>
            </w:r>
          </w:p>
        </w:tc>
        <w:tc>
          <w:tcPr>
            <w:tcW w:w="595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0698388" w14:textId="77777777" w:rsidR="00B62810" w:rsidRPr="00BA4E70" w:rsidRDefault="00B62810">
            <w:pPr>
              <w:rPr>
                <w:rFonts w:ascii="Calibri" w:hAnsi="Calibri" w:cs="Calibri"/>
                <w:sz w:val="22"/>
                <w:szCs w:val="22"/>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AE7BEFD"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b/>
                <w:bCs/>
                <w:sz w:val="22"/>
                <w:szCs w:val="22"/>
                <w:u w:color="000000"/>
              </w:rPr>
              <w:t>Rok 2022</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796CDCD"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b/>
                <w:bCs/>
                <w:sz w:val="22"/>
                <w:szCs w:val="22"/>
                <w:u w:color="000000"/>
              </w:rPr>
              <w:t>Rok 2023</w:t>
            </w:r>
          </w:p>
        </w:tc>
      </w:tr>
      <w:tr w:rsidR="00B62810" w:rsidRPr="00BA4E70" w14:paraId="7B88B25F" w14:textId="77777777" w:rsidTr="00BA4E70">
        <w:trPr>
          <w:trHeight w:val="25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60AB9"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1.</w:t>
            </w:r>
          </w:p>
        </w:tc>
        <w:tc>
          <w:tcPr>
            <w:tcW w:w="902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6174D"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Podróże studyjne</w:t>
            </w:r>
          </w:p>
        </w:tc>
      </w:tr>
      <w:tr w:rsidR="00B62810" w:rsidRPr="00BA4E70" w14:paraId="3625F92D" w14:textId="77777777" w:rsidTr="00BA4E70">
        <w:trPr>
          <w:trHeight w:val="29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FD8B4"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94456"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Liczba przyjętych dziennikarzy</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6DF7400"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26</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5721F41" w14:textId="77777777" w:rsidR="00B62810" w:rsidRPr="00BA4E70" w:rsidRDefault="007A0F62">
            <w:pPr>
              <w:pStyle w:val="Body"/>
              <w:widowControl w:val="0"/>
              <w:jc w:val="center"/>
              <w:rPr>
                <w:rFonts w:ascii="Calibri" w:hAnsi="Calibri" w:cs="Calibri"/>
                <w:sz w:val="22"/>
                <w:szCs w:val="22"/>
              </w:rPr>
            </w:pPr>
            <w:r w:rsidRPr="00BA4E70">
              <w:rPr>
                <w:rStyle w:val="Brak"/>
                <w:rFonts w:ascii="Calibri" w:hAnsi="Calibri" w:cs="Calibri"/>
                <w:sz w:val="22"/>
                <w:szCs w:val="22"/>
                <w:u w:color="FFFFFF"/>
                <w:lang w:val="sv-SE"/>
              </w:rPr>
              <w:t>69</w:t>
            </w:r>
          </w:p>
        </w:tc>
      </w:tr>
      <w:tr w:rsidR="00B62810" w:rsidRPr="00BA4E70" w14:paraId="34146168" w14:textId="77777777" w:rsidTr="00BA4E70">
        <w:trPr>
          <w:trHeight w:val="141"/>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69D4F0DD"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292CFF"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Liczba przyjętych przedstawicieli zagranicznych touroperator</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w</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BAFFCE4"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49</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98590E5" w14:textId="77777777" w:rsidR="00B62810" w:rsidRPr="00BA4E70" w:rsidRDefault="007A0F62">
            <w:pPr>
              <w:pStyle w:val="Body"/>
              <w:widowControl w:val="0"/>
              <w:jc w:val="center"/>
              <w:rPr>
                <w:rFonts w:ascii="Calibri" w:hAnsi="Calibri" w:cs="Calibri"/>
                <w:sz w:val="22"/>
                <w:szCs w:val="22"/>
              </w:rPr>
            </w:pPr>
            <w:r w:rsidRPr="00BA4E70">
              <w:rPr>
                <w:rStyle w:val="Brak"/>
                <w:rFonts w:ascii="Calibri" w:hAnsi="Calibri" w:cs="Calibri"/>
                <w:sz w:val="22"/>
                <w:szCs w:val="22"/>
                <w:u w:color="FFFFFF"/>
                <w:lang w:val="sv-SE"/>
              </w:rPr>
              <w:t>56</w:t>
            </w:r>
          </w:p>
        </w:tc>
      </w:tr>
      <w:tr w:rsidR="00B62810" w:rsidRPr="00BA4E70" w14:paraId="0D841927" w14:textId="77777777" w:rsidTr="00BA4E70">
        <w:trPr>
          <w:trHeight w:val="29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0CE99FD0"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4978C"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Liczba bloger</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lang w:val="pl-PL"/>
              </w:rPr>
              <w:t xml:space="preserve">w / </w:t>
            </w:r>
            <w:proofErr w:type="spellStart"/>
            <w:r w:rsidRPr="00BA4E70">
              <w:rPr>
                <w:rStyle w:val="Brak"/>
                <w:rFonts w:ascii="Calibri" w:hAnsi="Calibri" w:cs="Calibri"/>
                <w:sz w:val="22"/>
                <w:szCs w:val="22"/>
                <w:u w:color="000000"/>
                <w:lang w:val="pl-PL"/>
              </w:rPr>
              <w:t>influencer</w:t>
            </w:r>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w lub innych</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A56BD69"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8</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CAD402F" w14:textId="77777777" w:rsidR="00B62810" w:rsidRPr="00BA4E70" w:rsidRDefault="007A0F62">
            <w:pPr>
              <w:pStyle w:val="Body"/>
              <w:widowControl w:val="0"/>
              <w:jc w:val="center"/>
              <w:rPr>
                <w:rFonts w:ascii="Calibri" w:hAnsi="Calibri" w:cs="Calibri"/>
                <w:sz w:val="22"/>
                <w:szCs w:val="22"/>
              </w:rPr>
            </w:pPr>
            <w:r w:rsidRPr="00BA4E70">
              <w:rPr>
                <w:rStyle w:val="Brak"/>
                <w:rFonts w:ascii="Calibri" w:hAnsi="Calibri" w:cs="Calibri"/>
                <w:sz w:val="22"/>
                <w:szCs w:val="22"/>
                <w:u w:color="FFFFFF"/>
                <w:lang w:val="sv-SE"/>
              </w:rPr>
              <w:t>6</w:t>
            </w:r>
          </w:p>
        </w:tc>
      </w:tr>
      <w:tr w:rsidR="00B62810" w:rsidRPr="00BA4E70" w14:paraId="35A99456" w14:textId="77777777" w:rsidTr="00BA4E70">
        <w:trPr>
          <w:trHeight w:val="25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5AAFC"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2.</w:t>
            </w:r>
          </w:p>
        </w:tc>
        <w:tc>
          <w:tcPr>
            <w:tcW w:w="902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3D59C3"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 xml:space="preserve">Touroperatorzy </w:t>
            </w:r>
          </w:p>
        </w:tc>
      </w:tr>
      <w:tr w:rsidR="00B62810" w:rsidRPr="00BA4E70" w14:paraId="2E4D54B3" w14:textId="77777777" w:rsidTr="00BA4E70">
        <w:trPr>
          <w:trHeight w:val="52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45AC82E1"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5D133"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Liczba touroperator</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w z rynku działania ZOPOT, kt</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rzy posiadają w swojej ofercie Polskę - stan na koniec 2023</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D754BC"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366</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6DAADE1" w14:textId="77777777" w:rsidR="00B62810" w:rsidRPr="00BA4E70" w:rsidRDefault="007A0F62">
            <w:pPr>
              <w:pStyle w:val="TreB"/>
              <w:jc w:val="center"/>
              <w:rPr>
                <w:rFonts w:ascii="Calibri" w:hAnsi="Calibri" w:cs="Calibri"/>
                <w:sz w:val="22"/>
                <w:szCs w:val="22"/>
              </w:rPr>
            </w:pPr>
            <w:r w:rsidRPr="00BA4E70">
              <w:rPr>
                <w:rStyle w:val="Brak"/>
                <w:rFonts w:ascii="Calibri" w:hAnsi="Calibri" w:cs="Calibri"/>
                <w:sz w:val="22"/>
                <w:szCs w:val="22"/>
                <w:lang w:val="sv-SE"/>
              </w:rPr>
              <w:t>357</w:t>
            </w:r>
          </w:p>
        </w:tc>
      </w:tr>
      <w:tr w:rsidR="00B62810" w:rsidRPr="00BA4E70" w14:paraId="053FFF58" w14:textId="77777777" w:rsidTr="00BA4E70">
        <w:trPr>
          <w:trHeight w:val="52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67B72733"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7B700"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Liczba touroperator</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w z rynku działania ZOPOT, kt</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rzy wprowadzili w 2023 do swojej oferty Polskę</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DE47549"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26</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07435C9" w14:textId="77777777" w:rsidR="00B62810" w:rsidRPr="00BA4E70" w:rsidRDefault="007A0F62">
            <w:pPr>
              <w:pStyle w:val="TreB"/>
              <w:jc w:val="center"/>
              <w:rPr>
                <w:rFonts w:ascii="Calibri" w:hAnsi="Calibri" w:cs="Calibri"/>
                <w:sz w:val="22"/>
                <w:szCs w:val="22"/>
              </w:rPr>
            </w:pPr>
            <w:r w:rsidRPr="00BA4E70">
              <w:rPr>
                <w:rStyle w:val="Brak"/>
                <w:rFonts w:ascii="Calibri" w:hAnsi="Calibri" w:cs="Calibri"/>
                <w:sz w:val="22"/>
                <w:szCs w:val="22"/>
                <w:lang w:val="sv-SE"/>
              </w:rPr>
              <w:t>72</w:t>
            </w:r>
          </w:p>
        </w:tc>
      </w:tr>
      <w:tr w:rsidR="00B62810" w:rsidRPr="00BA4E70" w14:paraId="095CF027" w14:textId="77777777" w:rsidTr="00BA4E70">
        <w:trPr>
          <w:trHeight w:val="506"/>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0333839A"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C657F" w14:textId="09EB545B"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Liczba touroperator</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w z rynku działania ZOPOT, kt</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 xml:space="preserve">rzy w 2023 wycofali ze swoich ofert Polskę / zaprzestali działalności w 2023 </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FDE9CB3"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0 / 21</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A2E32BA" w14:textId="77777777" w:rsidR="00B62810" w:rsidRPr="00BA4E70" w:rsidRDefault="007A0F62">
            <w:pPr>
              <w:pStyle w:val="TreB"/>
              <w:jc w:val="center"/>
              <w:rPr>
                <w:rFonts w:ascii="Calibri" w:hAnsi="Calibri" w:cs="Calibri"/>
                <w:sz w:val="22"/>
                <w:szCs w:val="22"/>
              </w:rPr>
            </w:pPr>
            <w:r w:rsidRPr="00BA4E70">
              <w:rPr>
                <w:rStyle w:val="Brak"/>
                <w:rFonts w:ascii="Calibri" w:hAnsi="Calibri" w:cs="Calibri"/>
                <w:sz w:val="22"/>
                <w:szCs w:val="22"/>
              </w:rPr>
              <w:t xml:space="preserve">0 / </w:t>
            </w:r>
            <w:r w:rsidRPr="00BA4E70">
              <w:rPr>
                <w:rStyle w:val="Brak"/>
                <w:rFonts w:ascii="Calibri" w:hAnsi="Calibri" w:cs="Calibri"/>
                <w:sz w:val="22"/>
                <w:szCs w:val="22"/>
                <w:lang w:val="sv-SE"/>
              </w:rPr>
              <w:t>17 (*)</w:t>
            </w:r>
          </w:p>
        </w:tc>
      </w:tr>
      <w:tr w:rsidR="00B62810" w:rsidRPr="00BA4E70" w14:paraId="26A510F3" w14:textId="77777777" w:rsidTr="00BA4E70">
        <w:trPr>
          <w:trHeight w:val="91"/>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4D75AED5" w14:textId="77777777" w:rsidR="00B62810" w:rsidRPr="00BA4E70" w:rsidRDefault="00B62810">
            <w:pPr>
              <w:rPr>
                <w:rFonts w:ascii="Calibri" w:hAnsi="Calibri" w:cs="Calibri"/>
                <w:sz w:val="22"/>
                <w:szCs w:val="22"/>
              </w:rPr>
            </w:pPr>
          </w:p>
        </w:tc>
        <w:tc>
          <w:tcPr>
            <w:tcW w:w="59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0F0BB"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Liczba przedstawicieli zagranicznych/polskich touroperator</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w uczestniczących w warsztatach turystycznych</w:t>
            </w:r>
          </w:p>
        </w:tc>
        <w:tc>
          <w:tcPr>
            <w:tcW w:w="1162"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22DFF720"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Z</w:t>
            </w:r>
          </w:p>
        </w:tc>
        <w:tc>
          <w:tcPr>
            <w:tcW w:w="504"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05183B27"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P</w:t>
            </w:r>
          </w:p>
        </w:tc>
        <w:tc>
          <w:tcPr>
            <w:tcW w:w="953"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0DA2074F"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Z</w:t>
            </w:r>
          </w:p>
        </w:tc>
        <w:tc>
          <w:tcPr>
            <w:tcW w:w="457" w:type="dxa"/>
            <w:tcBorders>
              <w:top w:val="single" w:sz="4" w:space="0" w:color="000000"/>
              <w:left w:val="single" w:sz="4" w:space="0" w:color="000000"/>
              <w:bottom w:val="single" w:sz="4" w:space="0" w:color="000000"/>
              <w:right w:val="single" w:sz="4" w:space="0" w:color="000000"/>
            </w:tcBorders>
            <w:shd w:val="clear" w:color="auto" w:fill="B8CCE4"/>
            <w:tcMar>
              <w:top w:w="80" w:type="dxa"/>
              <w:left w:w="80" w:type="dxa"/>
              <w:bottom w:w="80" w:type="dxa"/>
              <w:right w:w="80" w:type="dxa"/>
            </w:tcMar>
          </w:tcPr>
          <w:p w14:paraId="1BFF27C2"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P</w:t>
            </w:r>
          </w:p>
        </w:tc>
      </w:tr>
      <w:tr w:rsidR="00B62810" w:rsidRPr="00BA4E70" w14:paraId="1E8B65AF" w14:textId="77777777" w:rsidTr="00BA4E70">
        <w:trPr>
          <w:trHeight w:val="73"/>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2587FB18" w14:textId="77777777" w:rsidR="00B62810" w:rsidRPr="00BA4E70" w:rsidRDefault="00B62810">
            <w:pPr>
              <w:rPr>
                <w:rFonts w:ascii="Calibri" w:hAnsi="Calibri" w:cs="Calibri"/>
                <w:sz w:val="22"/>
                <w:szCs w:val="22"/>
              </w:rPr>
            </w:pPr>
          </w:p>
        </w:tc>
        <w:tc>
          <w:tcPr>
            <w:tcW w:w="5953" w:type="dxa"/>
            <w:vMerge/>
            <w:tcBorders>
              <w:top w:val="single" w:sz="4" w:space="0" w:color="000000"/>
              <w:left w:val="single" w:sz="4" w:space="0" w:color="000000"/>
              <w:bottom w:val="single" w:sz="4" w:space="0" w:color="000000"/>
              <w:right w:val="single" w:sz="4" w:space="0" w:color="000000"/>
            </w:tcBorders>
            <w:shd w:val="clear" w:color="auto" w:fill="auto"/>
          </w:tcPr>
          <w:p w14:paraId="6CB87FC3" w14:textId="77777777" w:rsidR="00B62810" w:rsidRPr="00BA4E70" w:rsidRDefault="00B62810">
            <w:pPr>
              <w:rPr>
                <w:rFonts w:ascii="Calibri" w:hAnsi="Calibri" w:cs="Calibri"/>
                <w:sz w:val="22"/>
                <w:szCs w:val="22"/>
              </w:rPr>
            </w:pPr>
          </w:p>
        </w:tc>
        <w:tc>
          <w:tcPr>
            <w:tcW w:w="1162"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D0A56F2"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1 366</w:t>
            </w:r>
          </w:p>
        </w:tc>
        <w:tc>
          <w:tcPr>
            <w:tcW w:w="50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0B66C8A"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28</w:t>
            </w:r>
          </w:p>
        </w:tc>
        <w:tc>
          <w:tcPr>
            <w:tcW w:w="95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16EAFE4" w14:textId="77777777" w:rsidR="00B62810" w:rsidRPr="00BA4E70" w:rsidRDefault="007A0F62">
            <w:pPr>
              <w:pStyle w:val="Body"/>
              <w:widowControl w:val="0"/>
              <w:jc w:val="center"/>
              <w:rPr>
                <w:rFonts w:ascii="Calibri" w:hAnsi="Calibri" w:cs="Calibri"/>
                <w:sz w:val="22"/>
                <w:szCs w:val="22"/>
              </w:rPr>
            </w:pPr>
            <w:r w:rsidRPr="00BA4E70">
              <w:rPr>
                <w:rFonts w:ascii="Calibri" w:hAnsi="Calibri" w:cs="Calibri"/>
                <w:sz w:val="22"/>
                <w:szCs w:val="22"/>
              </w:rPr>
              <w:t>1701</w:t>
            </w:r>
          </w:p>
        </w:tc>
        <w:tc>
          <w:tcPr>
            <w:tcW w:w="457"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E5E9BCA" w14:textId="77777777" w:rsidR="00B62810" w:rsidRPr="00BA4E70" w:rsidRDefault="007A0F62">
            <w:pPr>
              <w:pStyle w:val="Body"/>
              <w:widowControl w:val="0"/>
              <w:jc w:val="center"/>
              <w:rPr>
                <w:rFonts w:ascii="Calibri" w:hAnsi="Calibri" w:cs="Calibri"/>
                <w:sz w:val="22"/>
                <w:szCs w:val="22"/>
              </w:rPr>
            </w:pPr>
            <w:r w:rsidRPr="00BA4E70">
              <w:rPr>
                <w:rStyle w:val="Brak"/>
                <w:rFonts w:ascii="Calibri" w:hAnsi="Calibri" w:cs="Calibri"/>
                <w:sz w:val="22"/>
                <w:szCs w:val="22"/>
                <w:u w:color="FFFFFF"/>
                <w:lang w:val="sv-SE"/>
              </w:rPr>
              <w:t>40</w:t>
            </w:r>
          </w:p>
        </w:tc>
      </w:tr>
      <w:tr w:rsidR="00B62810" w:rsidRPr="00BA4E70" w14:paraId="6A023399" w14:textId="77777777" w:rsidTr="00BA4E70">
        <w:trPr>
          <w:trHeight w:val="25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8A11F"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3.</w:t>
            </w:r>
          </w:p>
        </w:tc>
        <w:tc>
          <w:tcPr>
            <w:tcW w:w="902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A0517"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Liczba adres</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w w bazie newslettera</w:t>
            </w:r>
          </w:p>
        </w:tc>
      </w:tr>
      <w:tr w:rsidR="00B62810" w:rsidRPr="00BA4E70" w14:paraId="11FC5BD8" w14:textId="77777777" w:rsidTr="00BA4E70">
        <w:trPr>
          <w:trHeight w:val="29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71825251" w14:textId="77777777" w:rsidR="00B62810" w:rsidRPr="00BA4E70" w:rsidRDefault="00B62810">
            <w:pPr>
              <w:rPr>
                <w:rFonts w:ascii="Calibri" w:hAnsi="Calibri" w:cs="Calibri"/>
                <w:sz w:val="22"/>
                <w:szCs w:val="22"/>
                <w:lang w:val="pl-PL"/>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CD02F"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system SARE</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DEB5E23"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25 386</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9872DFF"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23 358</w:t>
            </w:r>
          </w:p>
        </w:tc>
      </w:tr>
      <w:tr w:rsidR="00B62810" w:rsidRPr="00BA4E70" w14:paraId="13BD61B9" w14:textId="77777777" w:rsidTr="00BA4E70">
        <w:trPr>
          <w:trHeight w:val="29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195C1688"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9278F"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inne niż SARE</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1CF9615"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0</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3BD644C"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0</w:t>
            </w:r>
          </w:p>
        </w:tc>
      </w:tr>
      <w:tr w:rsidR="00B62810" w:rsidRPr="00BA4E70" w14:paraId="43619511" w14:textId="77777777" w:rsidTr="00BA4E70">
        <w:trPr>
          <w:trHeight w:val="29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AACD4"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52AD1"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 xml:space="preserve">Liczba wejść na strony internetowe ZOPOT </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36859AF"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418 074</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5456C89"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728 789</w:t>
            </w:r>
          </w:p>
        </w:tc>
      </w:tr>
      <w:tr w:rsidR="00B62810" w:rsidRPr="00BA4E70" w14:paraId="29CF7889" w14:textId="77777777" w:rsidTr="00BA4E70">
        <w:trPr>
          <w:trHeight w:val="25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08A17"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5.</w:t>
            </w:r>
          </w:p>
        </w:tc>
        <w:tc>
          <w:tcPr>
            <w:tcW w:w="902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E50D2"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Media społecznościowe – liczba os</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b, kt</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re polubiły dany kanał.</w:t>
            </w:r>
          </w:p>
        </w:tc>
      </w:tr>
      <w:tr w:rsidR="00B62810" w:rsidRPr="00BA4E70" w14:paraId="014B0E88" w14:textId="77777777" w:rsidTr="00BA4E70">
        <w:trPr>
          <w:trHeight w:val="207"/>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174FD6FF" w14:textId="77777777" w:rsidR="00B62810" w:rsidRPr="00BA4E70" w:rsidRDefault="00B62810">
            <w:pPr>
              <w:rPr>
                <w:rFonts w:ascii="Calibri" w:hAnsi="Calibri" w:cs="Calibri"/>
                <w:sz w:val="22"/>
                <w:szCs w:val="22"/>
                <w:lang w:val="pl-PL"/>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7A317"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lang w:val="nl-NL"/>
              </w:rPr>
              <w:t xml:space="preserve">Facebook </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389ADE"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2 710</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D9A3E0B" w14:textId="77777777" w:rsidR="00B62810" w:rsidRPr="00BA4E70" w:rsidRDefault="007A0F62">
            <w:pPr>
              <w:pStyle w:val="TreA"/>
              <w:widowControl w:val="0"/>
              <w:jc w:val="center"/>
              <w:rPr>
                <w:rFonts w:ascii="Calibri" w:hAnsi="Calibri" w:cs="Calibri"/>
                <w:sz w:val="22"/>
                <w:szCs w:val="22"/>
              </w:rPr>
            </w:pPr>
            <w:r w:rsidRPr="00BA4E70">
              <w:rPr>
                <w:rStyle w:val="Brak"/>
                <w:rFonts w:ascii="Calibri" w:hAnsi="Calibri" w:cs="Calibri"/>
                <w:sz w:val="22"/>
                <w:szCs w:val="22"/>
              </w:rPr>
              <w:t>3 076</w:t>
            </w:r>
          </w:p>
        </w:tc>
      </w:tr>
      <w:tr w:rsidR="00B62810" w:rsidRPr="00BA4E70" w14:paraId="2BF91E8B" w14:textId="77777777" w:rsidTr="00BA4E70">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3779256A"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D1B37"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Instagram</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F29EBC4"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619</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6468F6E" w14:textId="77777777" w:rsidR="00B62810" w:rsidRPr="00BA4E70" w:rsidRDefault="007A0F62">
            <w:pPr>
              <w:pStyle w:val="TreA"/>
              <w:widowControl w:val="0"/>
              <w:jc w:val="center"/>
              <w:rPr>
                <w:rFonts w:ascii="Calibri" w:hAnsi="Calibri" w:cs="Calibri"/>
                <w:sz w:val="22"/>
                <w:szCs w:val="22"/>
              </w:rPr>
            </w:pPr>
            <w:r w:rsidRPr="00BA4E70">
              <w:rPr>
                <w:rStyle w:val="Brak"/>
                <w:rFonts w:ascii="Calibri" w:hAnsi="Calibri" w:cs="Calibri"/>
                <w:sz w:val="22"/>
                <w:szCs w:val="22"/>
              </w:rPr>
              <w:t>1 416</w:t>
            </w:r>
          </w:p>
        </w:tc>
      </w:tr>
      <w:tr w:rsidR="00B62810" w:rsidRPr="00BA4E70" w14:paraId="2BA57F8F" w14:textId="77777777" w:rsidTr="00BA4E70">
        <w:trPr>
          <w:trHeight w:val="29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0F157B16"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FC47F"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lang w:val="de-DE"/>
              </w:rPr>
              <w:t>Blog</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BC21D3E"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0</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0E8BCF2" w14:textId="77777777" w:rsidR="00B62810" w:rsidRPr="00BA4E70" w:rsidRDefault="007A0F62">
            <w:pPr>
              <w:pStyle w:val="Body"/>
              <w:widowControl w:val="0"/>
              <w:jc w:val="center"/>
              <w:rPr>
                <w:rFonts w:ascii="Calibri" w:hAnsi="Calibri" w:cs="Calibri"/>
                <w:sz w:val="22"/>
                <w:szCs w:val="22"/>
              </w:rPr>
            </w:pPr>
            <w:r w:rsidRPr="00BA4E70">
              <w:rPr>
                <w:rStyle w:val="Brak"/>
                <w:rFonts w:ascii="Calibri" w:hAnsi="Calibri" w:cs="Calibri"/>
                <w:sz w:val="22"/>
                <w:szCs w:val="22"/>
              </w:rPr>
              <w:t>0</w:t>
            </w:r>
          </w:p>
        </w:tc>
      </w:tr>
      <w:tr w:rsidR="00B62810" w:rsidRPr="00BA4E70" w14:paraId="7AD65530" w14:textId="77777777" w:rsidTr="00BA4E70">
        <w:trPr>
          <w:trHeight w:val="30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071B5D4E"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73055"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inne/LinkedIn</w:t>
            </w:r>
            <w:r w:rsidRPr="00BA4E70">
              <w:rPr>
                <w:rStyle w:val="Brak"/>
                <w:rFonts w:ascii="Calibri" w:hAnsi="Calibri" w:cs="Calibri"/>
                <w:sz w:val="22"/>
                <w:szCs w:val="22"/>
                <w:u w:color="000000"/>
                <w:lang w:val="en-US"/>
              </w:rPr>
              <w:t>, YouTube</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D661328"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2 944</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FF9BD0D" w14:textId="77777777" w:rsidR="00B62810" w:rsidRPr="00BA4E70" w:rsidRDefault="007A0F62">
            <w:pPr>
              <w:pStyle w:val="TreA"/>
              <w:widowControl w:val="0"/>
              <w:jc w:val="center"/>
              <w:rPr>
                <w:rFonts w:ascii="Calibri" w:hAnsi="Calibri" w:cs="Calibri"/>
                <w:sz w:val="22"/>
                <w:szCs w:val="22"/>
              </w:rPr>
            </w:pPr>
            <w:r w:rsidRPr="00BA4E70">
              <w:rPr>
                <w:rStyle w:val="Brak"/>
                <w:rFonts w:ascii="Calibri" w:hAnsi="Calibri" w:cs="Calibri"/>
                <w:sz w:val="22"/>
                <w:szCs w:val="22"/>
              </w:rPr>
              <w:t>318</w:t>
            </w:r>
          </w:p>
        </w:tc>
      </w:tr>
      <w:tr w:rsidR="00B62810" w:rsidRPr="00BA4E70" w14:paraId="66244423" w14:textId="77777777" w:rsidTr="00BA4E70">
        <w:trPr>
          <w:trHeight w:val="30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F1EDB"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F7A53"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Liczba uczestnik</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w seminari</w:t>
            </w:r>
            <w:proofErr w:type="spellStart"/>
            <w:r w:rsidRPr="00BA4E70">
              <w:rPr>
                <w:rStyle w:val="Brak"/>
                <w:rFonts w:ascii="Calibri" w:hAnsi="Calibri" w:cs="Calibri"/>
                <w:sz w:val="22"/>
                <w:szCs w:val="22"/>
                <w:u w:color="000000"/>
                <w:lang w:val="es-ES_tradnl"/>
              </w:rPr>
              <w:t>ó</w:t>
            </w:r>
            <w:proofErr w:type="spellEnd"/>
            <w:r w:rsidRPr="00BA4E70">
              <w:rPr>
                <w:rStyle w:val="Brak"/>
                <w:rFonts w:ascii="Calibri" w:hAnsi="Calibri" w:cs="Calibri"/>
                <w:sz w:val="22"/>
                <w:szCs w:val="22"/>
                <w:u w:color="000000"/>
              </w:rPr>
              <w:t>w i prezentacji na temat Polski</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D246F8F"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0</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9D89DA2"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0</w:t>
            </w:r>
          </w:p>
        </w:tc>
      </w:tr>
      <w:tr w:rsidR="00B62810" w:rsidRPr="00BA4E70" w14:paraId="4A91EBA2" w14:textId="77777777" w:rsidTr="00BA4E70">
        <w:trPr>
          <w:trHeight w:val="49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6EF53"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7.</w:t>
            </w:r>
          </w:p>
        </w:tc>
        <w:tc>
          <w:tcPr>
            <w:tcW w:w="902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7F940"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Wartość artykułów (w tym w mediach elektronicznych) i audycji radiowych i telewizyjnych publikowanych/ emitowanych w 2023 roku, liczona według ceny reklamy w EURO</w:t>
            </w:r>
          </w:p>
        </w:tc>
      </w:tr>
      <w:tr w:rsidR="00B62810" w:rsidRPr="00BA4E70" w14:paraId="33983373" w14:textId="77777777" w:rsidTr="00BA4E70">
        <w:trPr>
          <w:trHeight w:val="30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98875" w14:textId="77777777" w:rsidR="00B62810" w:rsidRPr="00BA4E70" w:rsidRDefault="00B62810">
            <w:pPr>
              <w:rPr>
                <w:rFonts w:ascii="Calibri" w:hAnsi="Calibri" w:cs="Calibri"/>
                <w:sz w:val="22"/>
                <w:szCs w:val="22"/>
                <w:lang w:val="pl-PL"/>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4CBD8"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na skutek organizacji podróży studyjnych</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CCE10D"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408 096</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5E2A9C9" w14:textId="77777777" w:rsidR="00B62810" w:rsidRPr="00BA4E70" w:rsidRDefault="007A0F62">
            <w:pPr>
              <w:pStyle w:val="Body"/>
              <w:widowControl w:val="0"/>
              <w:jc w:val="center"/>
              <w:rPr>
                <w:rFonts w:ascii="Calibri" w:hAnsi="Calibri" w:cs="Calibri"/>
                <w:sz w:val="22"/>
                <w:szCs w:val="22"/>
              </w:rPr>
            </w:pPr>
            <w:r w:rsidRPr="00BA4E70">
              <w:rPr>
                <w:rStyle w:val="Brak"/>
                <w:rFonts w:ascii="Calibri" w:hAnsi="Calibri" w:cs="Calibri"/>
                <w:sz w:val="22"/>
                <w:szCs w:val="22"/>
                <w:lang w:val="sv-SE"/>
              </w:rPr>
              <w:t>523 756</w:t>
            </w:r>
          </w:p>
        </w:tc>
      </w:tr>
      <w:tr w:rsidR="00B62810" w:rsidRPr="00BA4E70" w14:paraId="0A0EE686" w14:textId="77777777" w:rsidTr="00BA4E70">
        <w:trPr>
          <w:trHeight w:val="49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70FA9BCA" w14:textId="77777777" w:rsidR="00B62810" w:rsidRPr="00BA4E70" w:rsidRDefault="00B62810">
            <w:pPr>
              <w:rPr>
                <w:rFonts w:ascii="Calibri" w:hAnsi="Calibri" w:cs="Calibri"/>
                <w:sz w:val="22"/>
                <w:szCs w:val="22"/>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78C7E"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 xml:space="preserve">na skutek wszystkich działań </w:t>
            </w:r>
            <w:r w:rsidRPr="00BA4E70">
              <w:rPr>
                <w:rStyle w:val="Brak"/>
                <w:rFonts w:ascii="Calibri" w:hAnsi="Calibri" w:cs="Calibri"/>
                <w:sz w:val="22"/>
                <w:szCs w:val="22"/>
                <w:u w:color="000000"/>
                <w:lang w:val="pl-PL"/>
              </w:rPr>
              <w:t>PR O</w:t>
            </w:r>
            <w:r w:rsidRPr="00BA4E70">
              <w:rPr>
                <w:rStyle w:val="Brak"/>
                <w:rFonts w:ascii="Calibri" w:hAnsi="Calibri" w:cs="Calibri"/>
                <w:sz w:val="22"/>
                <w:szCs w:val="22"/>
                <w:u w:color="000000"/>
              </w:rPr>
              <w:t>środka, w wyłączeniem podróży studyjnych</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3159E35" w14:textId="77777777" w:rsidR="00B62810" w:rsidRPr="00BA4E70" w:rsidRDefault="007A0F62">
            <w:pPr>
              <w:pStyle w:val="BodyA"/>
              <w:widowControl w:val="0"/>
              <w:jc w:val="center"/>
              <w:rPr>
                <w:rFonts w:ascii="Calibri" w:hAnsi="Calibri" w:cs="Calibri"/>
                <w:sz w:val="22"/>
                <w:szCs w:val="22"/>
              </w:rPr>
            </w:pPr>
            <w:r w:rsidRPr="00BA4E70">
              <w:rPr>
                <w:rStyle w:val="Brak"/>
                <w:rFonts w:ascii="Calibri" w:hAnsi="Calibri" w:cs="Calibri"/>
                <w:sz w:val="22"/>
                <w:szCs w:val="22"/>
                <w:u w:color="000000"/>
              </w:rPr>
              <w:t>418 928</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F632854" w14:textId="77777777" w:rsidR="00B62810" w:rsidRPr="00BA4E70" w:rsidRDefault="007A0F62">
            <w:pPr>
              <w:pStyle w:val="TreA"/>
              <w:jc w:val="center"/>
              <w:rPr>
                <w:rFonts w:ascii="Calibri" w:hAnsi="Calibri" w:cs="Calibri"/>
                <w:sz w:val="22"/>
                <w:szCs w:val="22"/>
              </w:rPr>
            </w:pPr>
            <w:r w:rsidRPr="00BA4E70">
              <w:rPr>
                <w:rStyle w:val="Brak"/>
                <w:rFonts w:ascii="Calibri" w:hAnsi="Calibri" w:cs="Calibri"/>
                <w:sz w:val="22"/>
                <w:szCs w:val="22"/>
              </w:rPr>
              <w:t>302 166</w:t>
            </w:r>
          </w:p>
        </w:tc>
      </w:tr>
      <w:tr w:rsidR="00B62810" w:rsidRPr="00BA4E70" w14:paraId="33A8EB69" w14:textId="77777777" w:rsidTr="00BA4E70">
        <w:trPr>
          <w:trHeight w:val="490"/>
        </w:trPr>
        <w:tc>
          <w:tcPr>
            <w:tcW w:w="426"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8AE6B82"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F4958" w14:textId="77777777" w:rsidR="00B62810" w:rsidRPr="00BA4E70" w:rsidRDefault="007A0F62">
            <w:pPr>
              <w:pStyle w:val="BodyA"/>
              <w:widowControl w:val="0"/>
              <w:rPr>
                <w:rFonts w:ascii="Calibri" w:hAnsi="Calibri" w:cs="Calibri"/>
                <w:sz w:val="22"/>
                <w:szCs w:val="22"/>
              </w:rPr>
            </w:pPr>
            <w:r w:rsidRPr="00BA4E70">
              <w:rPr>
                <w:rStyle w:val="Brak"/>
                <w:rFonts w:ascii="Calibri" w:hAnsi="Calibri" w:cs="Calibri"/>
                <w:sz w:val="22"/>
                <w:szCs w:val="22"/>
                <w:u w:color="000000"/>
              </w:rPr>
              <w:t>Zasię</w:t>
            </w:r>
            <w:r w:rsidRPr="00BA4E70">
              <w:rPr>
                <w:rStyle w:val="Brak"/>
                <w:rFonts w:ascii="Calibri" w:hAnsi="Calibri" w:cs="Calibri"/>
                <w:sz w:val="22"/>
                <w:szCs w:val="22"/>
                <w:u w:color="000000"/>
                <w:lang w:val="pl-PL"/>
              </w:rPr>
              <w:t>g materia</w:t>
            </w:r>
            <w:r w:rsidRPr="00BA4E70">
              <w:rPr>
                <w:rStyle w:val="Brak"/>
                <w:rFonts w:ascii="Calibri" w:hAnsi="Calibri" w:cs="Calibri"/>
                <w:sz w:val="22"/>
                <w:szCs w:val="22"/>
                <w:u w:color="000000"/>
              </w:rPr>
              <w:t>łów opublikowanych w Internecie w efekcie podróży influencerskich.</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08D9D32" w14:textId="77777777" w:rsidR="00B62810" w:rsidRPr="00BA4E70" w:rsidRDefault="007A0F62">
            <w:pPr>
              <w:pStyle w:val="Body"/>
              <w:widowControl w:val="0"/>
              <w:jc w:val="center"/>
              <w:rPr>
                <w:rFonts w:ascii="Calibri" w:hAnsi="Calibri" w:cs="Calibri"/>
                <w:sz w:val="22"/>
                <w:szCs w:val="22"/>
              </w:rPr>
            </w:pPr>
            <w:r w:rsidRPr="00BA4E70">
              <w:rPr>
                <w:rStyle w:val="Brak"/>
                <w:rFonts w:ascii="Calibri" w:hAnsi="Calibri" w:cs="Calibri"/>
                <w:sz w:val="22"/>
                <w:szCs w:val="22"/>
              </w:rPr>
              <w:t>64 790</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D4540A" w14:textId="77777777" w:rsidR="00B62810" w:rsidRPr="00BA4E70" w:rsidRDefault="007A0F62">
            <w:pPr>
              <w:pStyle w:val="Body"/>
              <w:widowControl w:val="0"/>
              <w:jc w:val="center"/>
              <w:rPr>
                <w:rFonts w:ascii="Calibri" w:hAnsi="Calibri" w:cs="Calibri"/>
                <w:sz w:val="22"/>
                <w:szCs w:val="22"/>
              </w:rPr>
            </w:pPr>
            <w:r w:rsidRPr="00BA4E70">
              <w:rPr>
                <w:rStyle w:val="Brak"/>
                <w:rFonts w:ascii="Calibri" w:hAnsi="Calibri" w:cs="Calibri"/>
                <w:sz w:val="22"/>
                <w:szCs w:val="22"/>
                <w:lang w:val="sv-SE"/>
              </w:rPr>
              <w:t>139 166</w:t>
            </w:r>
          </w:p>
        </w:tc>
      </w:tr>
    </w:tbl>
    <w:p w14:paraId="725BE4A5" w14:textId="77777777" w:rsidR="00B62810" w:rsidRDefault="00B62810">
      <w:pPr>
        <w:pStyle w:val="BodyA"/>
        <w:keepNext/>
        <w:widowControl w:val="0"/>
        <w:spacing w:after="60"/>
        <w:ind w:left="540" w:hanging="540"/>
      </w:pPr>
    </w:p>
    <w:p w14:paraId="4A5F9569" w14:textId="77777777" w:rsidR="00B62810" w:rsidRDefault="007A0F62">
      <w:pPr>
        <w:pStyle w:val="BodyA"/>
        <w:keepNext/>
        <w:widowControl w:val="0"/>
        <w:spacing w:after="60"/>
        <w:ind w:left="432" w:hanging="432"/>
        <w:rPr>
          <w:rStyle w:val="Brak"/>
          <w:rFonts w:ascii="Cambria" w:eastAsia="Cambria" w:hAnsi="Cambria" w:cs="Cambria"/>
          <w:shd w:val="clear" w:color="auto" w:fill="FFFFFF"/>
        </w:rPr>
      </w:pPr>
      <w:bookmarkStart w:id="13" w:name="_Toc7"/>
      <w:r>
        <w:rPr>
          <w:rFonts w:ascii="Cambria" w:hAnsi="Cambria"/>
          <w:shd w:val="clear" w:color="auto" w:fill="FFFFFF"/>
        </w:rPr>
        <w:t>(*) w 2023 roku zaprzestano liczyć oddziały biur podróży w innych miastach niż centrala - oznacza to zmniejszenie liczby biur o 55 filii ale nie oznacza braku zainteresowania firm polskimi produktami turystycznymi.</w:t>
      </w:r>
      <w:bookmarkEnd w:id="13"/>
    </w:p>
    <w:p w14:paraId="4FF3C691" w14:textId="77777777" w:rsidR="00B62810" w:rsidRDefault="00B62810">
      <w:pPr>
        <w:pStyle w:val="BodyA"/>
        <w:keepNext/>
        <w:widowControl w:val="0"/>
        <w:spacing w:after="60"/>
        <w:ind w:left="324" w:hanging="324"/>
        <w:rPr>
          <w:rStyle w:val="Brak"/>
          <w:rFonts w:ascii="Cambria" w:eastAsia="Cambria" w:hAnsi="Cambria" w:cs="Cambria"/>
          <w:shd w:val="clear" w:color="auto" w:fill="FFFFFF"/>
        </w:rPr>
      </w:pPr>
    </w:p>
    <w:p w14:paraId="56159851" w14:textId="77777777" w:rsidR="00B62810" w:rsidRDefault="007A0F62">
      <w:pPr>
        <w:pStyle w:val="WordDefaultStyleA"/>
        <w:jc w:val="left"/>
      </w:pPr>
      <w:r>
        <w:rPr>
          <w:rStyle w:val="BrakA"/>
          <w:rFonts w:ascii="Arial Unicode MS" w:hAnsi="Arial Unicode MS"/>
        </w:rPr>
        <w:br w:type="page"/>
      </w:r>
    </w:p>
    <w:p w14:paraId="15814DFE" w14:textId="77777777" w:rsidR="00B62810" w:rsidRDefault="007A0F62">
      <w:pPr>
        <w:pStyle w:val="BodyA"/>
        <w:keepNext/>
        <w:shd w:val="clear" w:color="auto" w:fill="548DD4"/>
        <w:spacing w:after="60" w:line="276" w:lineRule="auto"/>
        <w:ind w:right="142"/>
      </w:pPr>
      <w:bookmarkStart w:id="14" w:name="_headingh.4d34og8"/>
      <w:bookmarkStart w:id="15" w:name="_Toc8"/>
      <w:bookmarkEnd w:id="14"/>
      <w:r>
        <w:rPr>
          <w:rStyle w:val="Brak"/>
          <w:rFonts w:ascii="Cambria" w:hAnsi="Cambria"/>
          <w:b/>
          <w:bCs/>
          <w:color w:val="FFFFFF"/>
          <w:sz w:val="28"/>
          <w:szCs w:val="28"/>
        </w:rPr>
        <w:t>8. Współpraca w realizacji działań promocyjnych</w:t>
      </w:r>
      <w:bookmarkEnd w:id="15"/>
    </w:p>
    <w:p w14:paraId="1C99D8B3" w14:textId="77777777" w:rsidR="00B62810" w:rsidRDefault="00B62810">
      <w:pPr>
        <w:pStyle w:val="BodyA"/>
        <w:widowControl w:val="0"/>
        <w:spacing w:after="200" w:line="19" w:lineRule="auto"/>
        <w:rPr>
          <w:rStyle w:val="Brak"/>
          <w:rFonts w:ascii="Cambria" w:eastAsia="Cambria" w:hAnsi="Cambria" w:cs="Cambria"/>
          <w:color w:val="4F81BD"/>
          <w:u w:color="4F81BD"/>
        </w:rPr>
      </w:pPr>
    </w:p>
    <w:p w14:paraId="551B132F" w14:textId="77777777" w:rsidR="00B62810" w:rsidRDefault="00B62810">
      <w:pPr>
        <w:pStyle w:val="WordDefaultStyleA"/>
        <w:jc w:val="left"/>
        <w:rPr>
          <w:rStyle w:val="BrakA"/>
        </w:rPr>
      </w:pPr>
    </w:p>
    <w:p w14:paraId="0ABBC8D8" w14:textId="77777777" w:rsidR="00B62810" w:rsidRDefault="007A0F62">
      <w:pPr>
        <w:pStyle w:val="WordDefaultStyleA"/>
        <w:jc w:val="left"/>
        <w:rPr>
          <w:rStyle w:val="Brak"/>
          <w:color w:val="4F81BD"/>
          <w:u w:color="4F81BD"/>
        </w:rPr>
      </w:pPr>
      <w:r>
        <w:rPr>
          <w:rStyle w:val="Brak"/>
          <w:color w:val="4F81BD"/>
          <w:u w:color="4F81BD"/>
        </w:rPr>
        <w:t>Najaktywniejsi na rynku działania ZOPOT przedstawiciele polskiej branży turystycznej i regionów</w:t>
      </w:r>
    </w:p>
    <w:p w14:paraId="6114C6FB" w14:textId="77777777" w:rsidR="00B62810" w:rsidRDefault="00B62810">
      <w:pPr>
        <w:pStyle w:val="WordDefaultStyleA"/>
        <w:jc w:val="left"/>
        <w:rPr>
          <w:rStyle w:val="Brak"/>
          <w:color w:val="4F81BD"/>
          <w:u w:color="4F81BD"/>
        </w:rPr>
      </w:pPr>
    </w:p>
    <w:tbl>
      <w:tblPr>
        <w:tblStyle w:val="TableNormal"/>
        <w:tblW w:w="90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769"/>
        <w:gridCol w:w="1753"/>
        <w:gridCol w:w="2261"/>
        <w:gridCol w:w="2261"/>
      </w:tblGrid>
      <w:tr w:rsidR="00B62810" w14:paraId="6E5DB5A7" w14:textId="77777777">
        <w:trPr>
          <w:trHeight w:val="600"/>
          <w:tblHeader/>
        </w:trPr>
        <w:tc>
          <w:tcPr>
            <w:tcW w:w="2768"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14:paraId="75227415" w14:textId="77777777" w:rsidR="00B62810" w:rsidRDefault="007A0F62">
            <w:pPr>
              <w:tabs>
                <w:tab w:val="left" w:pos="1440"/>
              </w:tabs>
              <w:suppressAutoHyphens/>
              <w:outlineLvl w:val="0"/>
            </w:pPr>
            <w:proofErr w:type="spellStart"/>
            <w:r>
              <w:rPr>
                <w:rFonts w:ascii="Cambria" w:hAnsi="Cambria" w:cs="Arial Unicode MS"/>
                <w:b/>
                <w:bCs/>
                <w:color w:val="FFFFFF"/>
                <w14:textOutline w14:w="12700" w14:cap="flat" w14:cmpd="sng" w14:algn="ctr">
                  <w14:noFill/>
                  <w14:prstDash w14:val="solid"/>
                  <w14:miter w14:lim="400000"/>
                </w14:textOutline>
              </w:rPr>
              <w:t>Regiony</w:t>
            </w:r>
            <w:proofErr w:type="spellEnd"/>
          </w:p>
        </w:tc>
        <w:tc>
          <w:tcPr>
            <w:tcW w:w="1753"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14:paraId="45CC2EDB" w14:textId="77777777" w:rsidR="00B62810" w:rsidRDefault="007A0F62">
            <w:pPr>
              <w:tabs>
                <w:tab w:val="left" w:pos="1440"/>
              </w:tabs>
              <w:suppressAutoHyphens/>
              <w:outlineLvl w:val="0"/>
            </w:pPr>
            <w:proofErr w:type="spellStart"/>
            <w:r>
              <w:rPr>
                <w:rFonts w:ascii="Cambria" w:hAnsi="Cambria" w:cs="Arial Unicode MS"/>
                <w:b/>
                <w:bCs/>
                <w:color w:val="FFFFFF"/>
                <w14:textOutline w14:w="12700" w14:cap="flat" w14:cmpd="sng" w14:algn="ctr">
                  <w14:noFill/>
                  <w14:prstDash w14:val="solid"/>
                  <w14:miter w14:lim="400000"/>
                </w14:textOutline>
              </w:rPr>
              <w:t>Przewoźnicy</w:t>
            </w:r>
            <w:proofErr w:type="spellEnd"/>
            <w:r>
              <w:rPr>
                <w:rFonts w:ascii="Cambria" w:hAnsi="Cambria" w:cs="Arial Unicode MS"/>
                <w:b/>
                <w:bCs/>
                <w:color w:val="FFFFFF"/>
                <w14:textOutline w14:w="12700" w14:cap="flat" w14:cmpd="sng" w14:algn="ctr">
                  <w14:noFill/>
                  <w14:prstDash w14:val="solid"/>
                  <w14:miter w14:lim="400000"/>
                </w14:textOutline>
              </w:rPr>
              <w:t xml:space="preserve"> </w:t>
            </w:r>
          </w:p>
        </w:tc>
        <w:tc>
          <w:tcPr>
            <w:tcW w:w="2261"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14:paraId="452E70AF" w14:textId="77777777" w:rsidR="00B62810" w:rsidRDefault="007A0F62">
            <w:pPr>
              <w:tabs>
                <w:tab w:val="left" w:pos="1440"/>
              </w:tabs>
              <w:suppressAutoHyphens/>
              <w:outlineLvl w:val="0"/>
            </w:pPr>
            <w:proofErr w:type="spellStart"/>
            <w:r>
              <w:rPr>
                <w:rFonts w:ascii="Cambria" w:hAnsi="Cambria" w:cs="Arial Unicode MS"/>
                <w:b/>
                <w:bCs/>
                <w:color w:val="FFFFFF"/>
                <w14:textOutline w14:w="12700" w14:cap="flat" w14:cmpd="sng" w14:algn="ctr">
                  <w14:noFill/>
                  <w14:prstDash w14:val="solid"/>
                  <w14:miter w14:lim="400000"/>
                </w14:textOutline>
              </w:rPr>
              <w:t>Hotele</w:t>
            </w:r>
            <w:proofErr w:type="spellEnd"/>
            <w:r>
              <w:rPr>
                <w:rFonts w:ascii="Cambria" w:hAnsi="Cambria" w:cs="Arial Unicode MS"/>
                <w:b/>
                <w:bCs/>
                <w:color w:val="FFFFFF"/>
                <w14:textOutline w14:w="12700" w14:cap="flat" w14:cmpd="sng" w14:algn="ctr">
                  <w14:noFill/>
                  <w14:prstDash w14:val="solid"/>
                  <w14:miter w14:lim="400000"/>
                </w14:textOutline>
              </w:rPr>
              <w:t xml:space="preserve"> </w:t>
            </w:r>
            <w:proofErr w:type="spellStart"/>
            <w:r>
              <w:rPr>
                <w:rFonts w:ascii="Cambria" w:hAnsi="Cambria" w:cs="Arial Unicode MS"/>
                <w:b/>
                <w:bCs/>
                <w:color w:val="FFFFFF"/>
                <w14:textOutline w14:w="12700" w14:cap="flat" w14:cmpd="sng" w14:algn="ctr">
                  <w14:noFill/>
                  <w14:prstDash w14:val="solid"/>
                  <w14:miter w14:lim="400000"/>
                </w14:textOutline>
              </w:rPr>
              <w:t>i</w:t>
            </w:r>
            <w:proofErr w:type="spellEnd"/>
            <w:r>
              <w:rPr>
                <w:rFonts w:ascii="Cambria" w:hAnsi="Cambria" w:cs="Arial Unicode MS"/>
                <w:b/>
                <w:bCs/>
                <w:color w:val="FFFFFF"/>
                <w14:textOutline w14:w="12700" w14:cap="flat" w14:cmpd="sng" w14:algn="ctr">
                  <w14:noFill/>
                  <w14:prstDash w14:val="solid"/>
                  <w14:miter w14:lim="400000"/>
                </w14:textOutline>
              </w:rPr>
              <w:t xml:space="preserve"> </w:t>
            </w:r>
            <w:proofErr w:type="spellStart"/>
            <w:r>
              <w:rPr>
                <w:rFonts w:ascii="Cambria" w:hAnsi="Cambria" w:cs="Arial Unicode MS"/>
                <w:b/>
                <w:bCs/>
                <w:color w:val="FFFFFF"/>
                <w14:textOutline w14:w="12700" w14:cap="flat" w14:cmpd="sng" w14:algn="ctr">
                  <w14:noFill/>
                  <w14:prstDash w14:val="solid"/>
                  <w14:miter w14:lim="400000"/>
                </w14:textOutline>
              </w:rPr>
              <w:t>Restauracje</w:t>
            </w:r>
            <w:proofErr w:type="spellEnd"/>
          </w:p>
        </w:tc>
        <w:tc>
          <w:tcPr>
            <w:tcW w:w="2261"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14:paraId="21A5BD59" w14:textId="77777777" w:rsidR="00B62810" w:rsidRDefault="007A0F62">
            <w:pPr>
              <w:tabs>
                <w:tab w:val="left" w:pos="1440"/>
              </w:tabs>
              <w:suppressAutoHyphens/>
              <w:outlineLvl w:val="0"/>
            </w:pPr>
            <w:proofErr w:type="spellStart"/>
            <w:r>
              <w:rPr>
                <w:rFonts w:ascii="Cambria" w:hAnsi="Cambria" w:cs="Arial Unicode MS"/>
                <w:b/>
                <w:bCs/>
                <w:color w:val="FFFFFF"/>
                <w14:textOutline w14:w="12700" w14:cap="flat" w14:cmpd="sng" w14:algn="ctr">
                  <w14:noFill/>
                  <w14:prstDash w14:val="solid"/>
                  <w14:miter w14:lim="400000"/>
                </w14:textOutline>
              </w:rPr>
              <w:t>Biura</w:t>
            </w:r>
            <w:proofErr w:type="spellEnd"/>
            <w:r>
              <w:rPr>
                <w:rFonts w:ascii="Cambria" w:hAnsi="Cambria" w:cs="Arial Unicode MS"/>
                <w:b/>
                <w:bCs/>
                <w:color w:val="FFFFFF"/>
                <w14:textOutline w14:w="12700" w14:cap="flat" w14:cmpd="sng" w14:algn="ctr">
                  <w14:noFill/>
                  <w14:prstDash w14:val="solid"/>
                  <w14:miter w14:lim="400000"/>
                </w14:textOutline>
              </w:rPr>
              <w:t xml:space="preserve"> </w:t>
            </w:r>
            <w:proofErr w:type="spellStart"/>
            <w:r>
              <w:rPr>
                <w:rFonts w:ascii="Cambria" w:hAnsi="Cambria" w:cs="Arial Unicode MS"/>
                <w:b/>
                <w:bCs/>
                <w:color w:val="FFFFFF"/>
                <w14:textOutline w14:w="12700" w14:cap="flat" w14:cmpd="sng" w14:algn="ctr">
                  <w14:noFill/>
                  <w14:prstDash w14:val="solid"/>
                  <w14:miter w14:lim="400000"/>
                </w14:textOutline>
              </w:rPr>
              <w:t>Podróży</w:t>
            </w:r>
            <w:proofErr w:type="spellEnd"/>
            <w:r>
              <w:rPr>
                <w:rFonts w:ascii="Cambria" w:hAnsi="Cambria" w:cs="Arial Unicode MS"/>
                <w:b/>
                <w:bCs/>
                <w:color w:val="FFFFFF"/>
                <w14:textOutline w14:w="12700" w14:cap="flat" w14:cmpd="sng" w14:algn="ctr">
                  <w14:noFill/>
                  <w14:prstDash w14:val="solid"/>
                  <w14:miter w14:lim="400000"/>
                </w14:textOutline>
              </w:rPr>
              <w:t xml:space="preserve"> </w:t>
            </w:r>
          </w:p>
        </w:tc>
      </w:tr>
      <w:tr w:rsidR="00B62810" w14:paraId="305030D4" w14:textId="77777777">
        <w:tblPrEx>
          <w:shd w:val="clear" w:color="auto" w:fill="CED7E7"/>
        </w:tblPrEx>
        <w:trPr>
          <w:trHeight w:val="600"/>
        </w:trPr>
        <w:tc>
          <w:tcPr>
            <w:tcW w:w="2768"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C0EBBF6" w14:textId="77777777" w:rsidR="00B62810" w:rsidRDefault="007A0F62">
            <w:pPr>
              <w:tabs>
                <w:tab w:val="left" w:pos="1440"/>
              </w:tabs>
              <w:suppressAutoHyphens/>
              <w:outlineLvl w:val="0"/>
            </w:pPr>
            <w:r>
              <w:rPr>
                <w:rFonts w:ascii="Cambria" w:hAnsi="Cambria" w:cs="Arial Unicode MS"/>
                <w:color w:val="000000"/>
                <w14:textOutline w14:w="12700" w14:cap="flat" w14:cmpd="sng" w14:algn="ctr">
                  <w14:noFill/>
                  <w14:prstDash w14:val="solid"/>
                  <w14:miter w14:lim="400000"/>
                </w14:textOutline>
              </w:rPr>
              <w:t xml:space="preserve">Pomorska </w:t>
            </w:r>
            <w:proofErr w:type="spellStart"/>
            <w:r>
              <w:rPr>
                <w:rFonts w:ascii="Cambria" w:hAnsi="Cambria" w:cs="Arial Unicode MS"/>
                <w:color w:val="000000"/>
                <w14:textOutline w14:w="12700" w14:cap="flat" w14:cmpd="sng" w14:algn="ctr">
                  <w14:noFill/>
                  <w14:prstDash w14:val="solid"/>
                  <w14:miter w14:lim="400000"/>
                </w14:textOutline>
              </w:rPr>
              <w:t>Regionalna</w:t>
            </w:r>
            <w:proofErr w:type="spellEnd"/>
            <w:r>
              <w:rPr>
                <w:rFonts w:ascii="Cambria" w:hAnsi="Cambria" w:cs="Arial Unicode MS"/>
                <w:color w:val="000000"/>
                <w14:textOutline w14:w="12700" w14:cap="flat" w14:cmpd="sng" w14:algn="ctr">
                  <w14:noFill/>
                  <w14:prstDash w14:val="solid"/>
                  <w14:miter w14:lim="400000"/>
                </w14:textOutline>
              </w:rPr>
              <w:t xml:space="preserve"> Organizacja Turystyczna</w:t>
            </w:r>
          </w:p>
        </w:tc>
        <w:tc>
          <w:tcPr>
            <w:tcW w:w="1753"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C4D7C3E" w14:textId="77777777" w:rsidR="00B62810" w:rsidRDefault="007A0F62">
            <w:pPr>
              <w:tabs>
                <w:tab w:val="left" w:pos="1440"/>
              </w:tabs>
              <w:suppressAutoHyphens/>
              <w:outlineLvl w:val="0"/>
            </w:pPr>
            <w:r>
              <w:rPr>
                <w:rFonts w:ascii="Cambria" w:hAnsi="Cambria" w:cs="Arial Unicode MS"/>
                <w:color w:val="000000"/>
                <w14:textOutline w14:w="12700" w14:cap="flat" w14:cmpd="sng" w14:algn="ctr">
                  <w14:noFill/>
                  <w14:prstDash w14:val="solid"/>
                  <w14:miter w14:lim="400000"/>
                </w14:textOutline>
              </w:rPr>
              <w:t>PLL LOT</w:t>
            </w:r>
          </w:p>
        </w:tc>
        <w:tc>
          <w:tcPr>
            <w:tcW w:w="2261"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3A45959" w14:textId="77777777" w:rsidR="00B62810" w:rsidRDefault="007A0F62">
            <w:pPr>
              <w:tabs>
                <w:tab w:val="left" w:pos="1440"/>
              </w:tabs>
              <w:suppressAutoHyphens/>
              <w:outlineLvl w:val="0"/>
            </w:pPr>
            <w:r>
              <w:rPr>
                <w:rFonts w:ascii="Cambria" w:hAnsi="Cambria" w:cs="Arial Unicode MS"/>
                <w:color w:val="000000"/>
                <w14:textOutline w14:w="12700" w14:cap="flat" w14:cmpd="sng" w14:algn="ctr">
                  <w14:noFill/>
                  <w14:prstDash w14:val="solid"/>
                  <w14:miter w14:lim="400000"/>
                </w14:textOutline>
              </w:rPr>
              <w:t>PURO Hotels</w:t>
            </w:r>
          </w:p>
        </w:tc>
        <w:tc>
          <w:tcPr>
            <w:tcW w:w="2261"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3048ADE"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JanPol</w:t>
            </w:r>
            <w:proofErr w:type="spellEnd"/>
          </w:p>
        </w:tc>
      </w:tr>
      <w:tr w:rsidR="00B62810" w14:paraId="7D7CD547" w14:textId="77777777">
        <w:tblPrEx>
          <w:shd w:val="clear" w:color="auto" w:fill="CED7E7"/>
        </w:tblPrEx>
        <w:trPr>
          <w:trHeight w:val="580"/>
        </w:trPr>
        <w:tc>
          <w:tcPr>
            <w:tcW w:w="2768"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F6E081D"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Gdańska</w:t>
            </w:r>
            <w:proofErr w:type="spellEnd"/>
            <w:r>
              <w:rPr>
                <w:rFonts w:ascii="Cambria" w:hAnsi="Cambria" w:cs="Arial Unicode MS"/>
                <w:color w:val="000000"/>
                <w14:textOutline w14:w="12700" w14:cap="flat" w14:cmpd="sng" w14:algn="ctr">
                  <w14:noFill/>
                  <w14:prstDash w14:val="solid"/>
                  <w14:miter w14:lim="400000"/>
                </w14:textOutline>
              </w:rPr>
              <w:t xml:space="preserve"> Organizacja Turystyczna</w:t>
            </w:r>
          </w:p>
        </w:tc>
        <w:tc>
          <w:tcPr>
            <w:tcW w:w="175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B3A04E0" w14:textId="77777777" w:rsidR="00B62810" w:rsidRDefault="007A0F62">
            <w:pPr>
              <w:tabs>
                <w:tab w:val="left" w:pos="1440"/>
              </w:tabs>
              <w:suppressAutoHyphens/>
              <w:outlineLvl w:val="0"/>
            </w:pPr>
            <w:r>
              <w:rPr>
                <w:rFonts w:ascii="Cambria" w:hAnsi="Cambria" w:cs="Arial Unicode MS"/>
                <w:color w:val="000000"/>
                <w14:textOutline w14:w="12700" w14:cap="flat" w14:cmpd="sng" w14:algn="ctr">
                  <w14:noFill/>
                  <w14:prstDash w14:val="solid"/>
                  <w14:miter w14:lim="400000"/>
                </w14:textOutline>
              </w:rPr>
              <w:t xml:space="preserve">PZB </w:t>
            </w:r>
            <w:proofErr w:type="spellStart"/>
            <w:r>
              <w:rPr>
                <w:rFonts w:ascii="Cambria" w:hAnsi="Cambria" w:cs="Arial Unicode MS"/>
                <w:color w:val="000000"/>
                <w14:textOutline w14:w="12700" w14:cap="flat" w14:cmpd="sng" w14:algn="ctr">
                  <w14:noFill/>
                  <w14:prstDash w14:val="solid"/>
                  <w14:miter w14:lim="400000"/>
                </w14:textOutline>
              </w:rPr>
              <w:t>Polferries</w:t>
            </w:r>
            <w:proofErr w:type="spellEnd"/>
          </w:p>
        </w:tc>
        <w:tc>
          <w:tcPr>
            <w:tcW w:w="2261"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BD9ABAA"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Restauracja</w:t>
            </w:r>
            <w:proofErr w:type="spellEnd"/>
            <w:r>
              <w:rPr>
                <w:rFonts w:ascii="Cambria" w:hAnsi="Cambria" w:cs="Arial Unicode MS"/>
                <w:color w:val="000000"/>
                <w14:textOutline w14:w="12700" w14:cap="flat" w14:cmpd="sng" w14:algn="ctr">
                  <w14:noFill/>
                  <w14:prstDash w14:val="solid"/>
                  <w14:miter w14:lim="400000"/>
                </w14:textOutline>
              </w:rPr>
              <w:t xml:space="preserve"> </w:t>
            </w:r>
            <w:proofErr w:type="spellStart"/>
            <w:r>
              <w:rPr>
                <w:rFonts w:ascii="Cambria" w:hAnsi="Cambria" w:cs="Arial Unicode MS"/>
                <w:color w:val="000000"/>
                <w14:textOutline w14:w="12700" w14:cap="flat" w14:cmpd="sng" w14:algn="ctr">
                  <w14:noFill/>
                  <w14:prstDash w14:val="solid"/>
                  <w14:miter w14:lim="400000"/>
                </w14:textOutline>
              </w:rPr>
              <w:t>Wierzynek</w:t>
            </w:r>
            <w:proofErr w:type="spellEnd"/>
          </w:p>
        </w:tc>
        <w:tc>
          <w:tcPr>
            <w:tcW w:w="2261"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789B6BA0" w14:textId="77777777" w:rsidR="00B62810" w:rsidRDefault="007A0F62">
            <w:pPr>
              <w:tabs>
                <w:tab w:val="left" w:pos="1440"/>
              </w:tabs>
              <w:suppressAutoHyphens/>
              <w:outlineLvl w:val="0"/>
            </w:pPr>
            <w:r>
              <w:rPr>
                <w:rFonts w:ascii="Cambria" w:hAnsi="Cambria" w:cs="Arial Unicode MS"/>
                <w:color w:val="000000"/>
                <w14:textOutline w14:w="12700" w14:cap="flat" w14:cmpd="sng" w14:algn="ctr">
                  <w14:noFill/>
                  <w14:prstDash w14:val="solid"/>
                  <w14:miter w14:lim="400000"/>
                </w14:textOutline>
              </w:rPr>
              <w:t xml:space="preserve">Furnel </w:t>
            </w:r>
            <w:proofErr w:type="spellStart"/>
            <w:r>
              <w:rPr>
                <w:rFonts w:ascii="Cambria" w:hAnsi="Cambria" w:cs="Arial Unicode MS"/>
                <w:color w:val="000000"/>
                <w14:textOutline w14:w="12700" w14:cap="flat" w14:cmpd="sng" w14:algn="ctr">
                  <w14:noFill/>
                  <w14:prstDash w14:val="solid"/>
                  <w14:miter w14:lim="400000"/>
                </w14:textOutline>
              </w:rPr>
              <w:t>Internationa</w:t>
            </w:r>
            <w:proofErr w:type="spellEnd"/>
          </w:p>
        </w:tc>
      </w:tr>
      <w:tr w:rsidR="00B62810" w14:paraId="08FDE266" w14:textId="77777777">
        <w:tblPrEx>
          <w:shd w:val="clear" w:color="auto" w:fill="CED7E7"/>
        </w:tblPrEx>
        <w:trPr>
          <w:trHeight w:val="480"/>
        </w:trPr>
        <w:tc>
          <w:tcPr>
            <w:tcW w:w="2768"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90F043F"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Urząd</w:t>
            </w:r>
            <w:proofErr w:type="spellEnd"/>
            <w:r>
              <w:rPr>
                <w:rFonts w:ascii="Cambria" w:hAnsi="Cambria" w:cs="Arial Unicode MS"/>
                <w:color w:val="000000"/>
                <w14:textOutline w14:w="12700" w14:cap="flat" w14:cmpd="sng" w14:algn="ctr">
                  <w14:noFill/>
                  <w14:prstDash w14:val="solid"/>
                  <w14:miter w14:lim="400000"/>
                </w14:textOutline>
              </w:rPr>
              <w:t xml:space="preserve"> </w:t>
            </w:r>
            <w:proofErr w:type="spellStart"/>
            <w:r>
              <w:rPr>
                <w:rFonts w:ascii="Cambria" w:hAnsi="Cambria" w:cs="Arial Unicode MS"/>
                <w:color w:val="000000"/>
                <w14:textOutline w14:w="12700" w14:cap="flat" w14:cmpd="sng" w14:algn="ctr">
                  <w14:noFill/>
                  <w14:prstDash w14:val="solid"/>
                  <w14:miter w14:lim="400000"/>
                </w14:textOutline>
              </w:rPr>
              <w:t>MIasta</w:t>
            </w:r>
            <w:proofErr w:type="spellEnd"/>
            <w:r>
              <w:rPr>
                <w:rFonts w:ascii="Cambria" w:hAnsi="Cambria" w:cs="Arial Unicode MS"/>
                <w:color w:val="000000"/>
                <w14:textOutline w14:w="12700" w14:cap="flat" w14:cmpd="sng" w14:algn="ctr">
                  <w14:noFill/>
                  <w14:prstDash w14:val="solid"/>
                  <w14:miter w14:lim="400000"/>
                </w14:textOutline>
              </w:rPr>
              <w:t xml:space="preserve"> </w:t>
            </w:r>
            <w:proofErr w:type="spellStart"/>
            <w:r>
              <w:rPr>
                <w:rFonts w:ascii="Cambria" w:hAnsi="Cambria" w:cs="Arial Unicode MS"/>
                <w:color w:val="000000"/>
                <w14:textOutline w14:w="12700" w14:cap="flat" w14:cmpd="sng" w14:algn="ctr">
                  <w14:noFill/>
                  <w14:prstDash w14:val="solid"/>
                  <w14:miter w14:lim="400000"/>
                </w14:textOutline>
              </w:rPr>
              <w:t>Krakowa</w:t>
            </w:r>
            <w:proofErr w:type="spellEnd"/>
          </w:p>
        </w:tc>
        <w:tc>
          <w:tcPr>
            <w:tcW w:w="175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022BDAE"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FD3790E" w14:textId="77777777" w:rsidR="00B62810" w:rsidRDefault="007A0F62">
            <w:pPr>
              <w:tabs>
                <w:tab w:val="left" w:pos="1440"/>
              </w:tabs>
              <w:suppressAutoHyphens/>
              <w:outlineLvl w:val="0"/>
            </w:pPr>
            <w:r>
              <w:rPr>
                <w:rFonts w:ascii="Cambria" w:hAnsi="Cambria" w:cs="Arial Unicode MS"/>
                <w:color w:val="000000"/>
                <w14:textOutline w14:w="12700" w14:cap="flat" w14:cmpd="sng" w14:algn="ctr">
                  <w14:noFill/>
                  <w14:prstDash w14:val="solid"/>
                  <w14:miter w14:lim="400000"/>
                </w14:textOutline>
              </w:rPr>
              <w:t xml:space="preserve">Hotel 3 </w:t>
            </w:r>
            <w:proofErr w:type="spellStart"/>
            <w:r>
              <w:rPr>
                <w:rFonts w:ascii="Cambria" w:hAnsi="Cambria" w:cs="Arial Unicode MS"/>
                <w:color w:val="000000"/>
                <w14:textOutline w14:w="12700" w14:cap="flat" w14:cmpd="sng" w14:algn="ctr">
                  <w14:noFill/>
                  <w14:prstDash w14:val="solid"/>
                  <w14:miter w14:lim="400000"/>
                </w14:textOutline>
              </w:rPr>
              <w:t>Wyspy</w:t>
            </w:r>
            <w:proofErr w:type="spellEnd"/>
          </w:p>
        </w:tc>
        <w:tc>
          <w:tcPr>
            <w:tcW w:w="2261"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ED7D472" w14:textId="77777777" w:rsidR="00B62810" w:rsidRDefault="007A0F62">
            <w:pPr>
              <w:tabs>
                <w:tab w:val="left" w:pos="1440"/>
              </w:tabs>
              <w:suppressAutoHyphens/>
              <w:outlineLvl w:val="0"/>
            </w:pPr>
            <w:r>
              <w:rPr>
                <w:rFonts w:ascii="Cambria" w:hAnsi="Cambria" w:cs="Arial Unicode MS"/>
                <w:color w:val="000000"/>
                <w14:textOutline w14:w="12700" w14:cap="flat" w14:cmpd="sng" w14:algn="ctr">
                  <w14:noFill/>
                  <w14:prstDash w14:val="solid"/>
                  <w14:miter w14:lim="400000"/>
                </w14:textOutline>
              </w:rPr>
              <w:t>Mazurkas Travel</w:t>
            </w:r>
          </w:p>
        </w:tc>
      </w:tr>
      <w:tr w:rsidR="00B62810" w14:paraId="6467163B" w14:textId="77777777">
        <w:tblPrEx>
          <w:shd w:val="clear" w:color="auto" w:fill="CED7E7"/>
        </w:tblPrEx>
        <w:trPr>
          <w:trHeight w:val="580"/>
        </w:trPr>
        <w:tc>
          <w:tcPr>
            <w:tcW w:w="2768"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EE31363" w14:textId="77777777" w:rsidR="00B62810" w:rsidRDefault="007A0F62">
            <w:pPr>
              <w:tabs>
                <w:tab w:val="left" w:pos="1440"/>
              </w:tabs>
              <w:suppressAutoHyphens/>
              <w:outlineLvl w:val="0"/>
            </w:pPr>
            <w:r>
              <w:rPr>
                <w:rFonts w:ascii="Cambria" w:hAnsi="Cambria" w:cs="Arial Unicode MS"/>
                <w:color w:val="000000"/>
                <w14:textOutline w14:w="12700" w14:cap="flat" w14:cmpd="sng" w14:algn="ctr">
                  <w14:noFill/>
                  <w14:prstDash w14:val="solid"/>
                  <w14:miter w14:lim="400000"/>
                </w14:textOutline>
              </w:rPr>
              <w:t>Warszawska Organizacja Turystyczna</w:t>
            </w:r>
          </w:p>
        </w:tc>
        <w:tc>
          <w:tcPr>
            <w:tcW w:w="175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86B7683"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DAE4640"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Sopotorium</w:t>
            </w:r>
            <w:proofErr w:type="spellEnd"/>
          </w:p>
        </w:tc>
        <w:tc>
          <w:tcPr>
            <w:tcW w:w="2261"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71C9C3BD" w14:textId="77777777" w:rsidR="00B62810" w:rsidRDefault="00B62810"/>
        </w:tc>
      </w:tr>
      <w:tr w:rsidR="00B62810" w14:paraId="12CA607D" w14:textId="77777777">
        <w:tblPrEx>
          <w:shd w:val="clear" w:color="auto" w:fill="CED7E7"/>
        </w:tblPrEx>
        <w:trPr>
          <w:trHeight w:val="580"/>
        </w:trPr>
        <w:tc>
          <w:tcPr>
            <w:tcW w:w="2768"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61CCB6EA"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Poznańską</w:t>
            </w:r>
            <w:proofErr w:type="spellEnd"/>
            <w:r>
              <w:rPr>
                <w:rFonts w:ascii="Cambria" w:hAnsi="Cambria" w:cs="Arial Unicode MS"/>
                <w:color w:val="000000"/>
                <w14:textOutline w14:w="12700" w14:cap="flat" w14:cmpd="sng" w14:algn="ctr">
                  <w14:noFill/>
                  <w14:prstDash w14:val="solid"/>
                  <w14:miter w14:lim="400000"/>
                </w14:textOutline>
              </w:rPr>
              <w:t xml:space="preserve"> </w:t>
            </w:r>
            <w:proofErr w:type="spellStart"/>
            <w:r>
              <w:rPr>
                <w:rFonts w:ascii="Cambria" w:hAnsi="Cambria" w:cs="Arial Unicode MS"/>
                <w:color w:val="000000"/>
                <w14:textOutline w14:w="12700" w14:cap="flat" w14:cmpd="sng" w14:algn="ctr">
                  <w14:noFill/>
                  <w14:prstDash w14:val="solid"/>
                  <w14:miter w14:lim="400000"/>
                </w14:textOutline>
              </w:rPr>
              <w:t>Lokalna</w:t>
            </w:r>
            <w:proofErr w:type="spellEnd"/>
            <w:r>
              <w:rPr>
                <w:rFonts w:ascii="Cambria" w:hAnsi="Cambria" w:cs="Arial Unicode MS"/>
                <w:color w:val="000000"/>
                <w14:textOutline w14:w="12700" w14:cap="flat" w14:cmpd="sng" w14:algn="ctr">
                  <w14:noFill/>
                  <w14:prstDash w14:val="solid"/>
                  <w14:miter w14:lim="400000"/>
                </w14:textOutline>
              </w:rPr>
              <w:t xml:space="preserve"> Organizacja Turystyczna</w:t>
            </w:r>
          </w:p>
        </w:tc>
        <w:tc>
          <w:tcPr>
            <w:tcW w:w="175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59214EA"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03909AF" w14:textId="77777777" w:rsidR="00B62810" w:rsidRDefault="007A0F62">
            <w:pPr>
              <w:tabs>
                <w:tab w:val="left" w:pos="1440"/>
              </w:tabs>
              <w:suppressAutoHyphens/>
              <w:outlineLvl w:val="0"/>
            </w:pPr>
            <w:r>
              <w:rPr>
                <w:rFonts w:ascii="Cambria" w:hAnsi="Cambria" w:cs="Arial Unicode MS"/>
                <w:color w:val="000000"/>
                <w14:textOutline w14:w="12700" w14:cap="flat" w14:cmpd="sng" w14:algn="ctr">
                  <w14:noFill/>
                  <w14:prstDash w14:val="solid"/>
                  <w14:miter w14:lim="400000"/>
                </w14:textOutline>
              </w:rPr>
              <w:t>Radisson Hotel Sopot</w:t>
            </w:r>
          </w:p>
        </w:tc>
        <w:tc>
          <w:tcPr>
            <w:tcW w:w="2261"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7354CA6" w14:textId="77777777" w:rsidR="00B62810" w:rsidRDefault="00B62810"/>
        </w:tc>
      </w:tr>
      <w:tr w:rsidR="00B62810" w14:paraId="417D5C3D" w14:textId="77777777">
        <w:tblPrEx>
          <w:shd w:val="clear" w:color="auto" w:fill="CED7E7"/>
        </w:tblPrEx>
        <w:trPr>
          <w:trHeight w:val="580"/>
        </w:trPr>
        <w:tc>
          <w:tcPr>
            <w:tcW w:w="2768"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78E44943"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Małopolska</w:t>
            </w:r>
            <w:proofErr w:type="spellEnd"/>
            <w:r>
              <w:rPr>
                <w:rFonts w:ascii="Cambria" w:hAnsi="Cambria" w:cs="Arial Unicode MS"/>
                <w:color w:val="000000"/>
                <w14:textOutline w14:w="12700" w14:cap="flat" w14:cmpd="sng" w14:algn="ctr">
                  <w14:noFill/>
                  <w14:prstDash w14:val="solid"/>
                  <w14:miter w14:lim="400000"/>
                </w14:textOutline>
              </w:rPr>
              <w:t xml:space="preserve"> Organizacja Turystyczna</w:t>
            </w:r>
          </w:p>
        </w:tc>
        <w:tc>
          <w:tcPr>
            <w:tcW w:w="175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68DB95D5"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B100E61"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2047EB2" w14:textId="77777777" w:rsidR="00B62810" w:rsidRDefault="00B62810"/>
        </w:tc>
      </w:tr>
      <w:tr w:rsidR="00B62810" w14:paraId="28D332FF" w14:textId="77777777">
        <w:tblPrEx>
          <w:shd w:val="clear" w:color="auto" w:fill="CED7E7"/>
        </w:tblPrEx>
        <w:trPr>
          <w:trHeight w:val="580"/>
        </w:trPr>
        <w:tc>
          <w:tcPr>
            <w:tcW w:w="2768"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1486761"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Łódzka</w:t>
            </w:r>
            <w:proofErr w:type="spellEnd"/>
            <w:r>
              <w:rPr>
                <w:rFonts w:ascii="Cambria" w:hAnsi="Cambria" w:cs="Arial Unicode MS"/>
                <w:color w:val="000000"/>
                <w14:textOutline w14:w="12700" w14:cap="flat" w14:cmpd="sng" w14:algn="ctr">
                  <w14:noFill/>
                  <w14:prstDash w14:val="solid"/>
                  <w14:miter w14:lim="400000"/>
                </w14:textOutline>
              </w:rPr>
              <w:t xml:space="preserve"> Organizacja Turystyczna</w:t>
            </w:r>
          </w:p>
        </w:tc>
        <w:tc>
          <w:tcPr>
            <w:tcW w:w="175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1B2B833"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0514CB3"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9F861F7" w14:textId="77777777" w:rsidR="00B62810" w:rsidRDefault="00B62810"/>
        </w:tc>
      </w:tr>
      <w:tr w:rsidR="00B62810" w14:paraId="03C3F9AC" w14:textId="77777777">
        <w:tblPrEx>
          <w:shd w:val="clear" w:color="auto" w:fill="CED7E7"/>
        </w:tblPrEx>
        <w:trPr>
          <w:trHeight w:val="480"/>
        </w:trPr>
        <w:tc>
          <w:tcPr>
            <w:tcW w:w="2768"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9583A8D"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Stołeczne</w:t>
            </w:r>
            <w:proofErr w:type="spellEnd"/>
            <w:r>
              <w:rPr>
                <w:rFonts w:ascii="Cambria" w:hAnsi="Cambria" w:cs="Arial Unicode MS"/>
                <w:color w:val="000000"/>
                <w14:textOutline w14:w="12700" w14:cap="flat" w14:cmpd="sng" w14:algn="ctr">
                  <w14:noFill/>
                  <w14:prstDash w14:val="solid"/>
                  <w14:miter w14:lim="400000"/>
                </w14:textOutline>
              </w:rPr>
              <w:t xml:space="preserve"> Biuro </w:t>
            </w:r>
            <w:proofErr w:type="spellStart"/>
            <w:r>
              <w:rPr>
                <w:rFonts w:ascii="Cambria" w:hAnsi="Cambria" w:cs="Arial Unicode MS"/>
                <w:color w:val="000000"/>
                <w14:textOutline w14:w="12700" w14:cap="flat" w14:cmpd="sng" w14:algn="ctr">
                  <w14:noFill/>
                  <w14:prstDash w14:val="solid"/>
                  <w14:miter w14:lim="400000"/>
                </w14:textOutline>
              </w:rPr>
              <w:t>Turystyki</w:t>
            </w:r>
            <w:proofErr w:type="spellEnd"/>
          </w:p>
        </w:tc>
        <w:tc>
          <w:tcPr>
            <w:tcW w:w="175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8CB0BDD"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0092F28F"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20700030" w14:textId="77777777" w:rsidR="00B62810" w:rsidRDefault="00B62810"/>
        </w:tc>
      </w:tr>
      <w:tr w:rsidR="00B62810" w14:paraId="06F641D4" w14:textId="77777777">
        <w:tblPrEx>
          <w:shd w:val="clear" w:color="auto" w:fill="CED7E7"/>
        </w:tblPrEx>
        <w:trPr>
          <w:trHeight w:val="480"/>
        </w:trPr>
        <w:tc>
          <w:tcPr>
            <w:tcW w:w="2768"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04DFE5C"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Urząd</w:t>
            </w:r>
            <w:proofErr w:type="spellEnd"/>
            <w:r>
              <w:rPr>
                <w:rFonts w:ascii="Cambria" w:hAnsi="Cambria" w:cs="Arial Unicode MS"/>
                <w:color w:val="000000"/>
                <w14:textOutline w14:w="12700" w14:cap="flat" w14:cmpd="sng" w14:algn="ctr">
                  <w14:noFill/>
                  <w14:prstDash w14:val="solid"/>
                  <w14:miter w14:lim="400000"/>
                </w14:textOutline>
              </w:rPr>
              <w:t xml:space="preserve"> </w:t>
            </w:r>
            <w:proofErr w:type="spellStart"/>
            <w:r>
              <w:rPr>
                <w:rFonts w:ascii="Cambria" w:hAnsi="Cambria" w:cs="Arial Unicode MS"/>
                <w:color w:val="000000"/>
                <w14:textOutline w14:w="12700" w14:cap="flat" w14:cmpd="sng" w14:algn="ctr">
                  <w14:noFill/>
                  <w14:prstDash w14:val="solid"/>
                  <w14:miter w14:lim="400000"/>
                </w14:textOutline>
              </w:rPr>
              <w:t>Miasta</w:t>
            </w:r>
            <w:proofErr w:type="spellEnd"/>
            <w:r>
              <w:rPr>
                <w:rFonts w:ascii="Cambria" w:hAnsi="Cambria" w:cs="Arial Unicode MS"/>
                <w:color w:val="000000"/>
                <w14:textOutline w14:w="12700" w14:cap="flat" w14:cmpd="sng" w14:algn="ctr">
                  <w14:noFill/>
                  <w14:prstDash w14:val="solid"/>
                  <w14:miter w14:lim="400000"/>
                </w14:textOutline>
              </w:rPr>
              <w:t xml:space="preserve"> </w:t>
            </w:r>
            <w:proofErr w:type="spellStart"/>
            <w:r>
              <w:rPr>
                <w:rFonts w:ascii="Cambria" w:hAnsi="Cambria" w:cs="Arial Unicode MS"/>
                <w:color w:val="000000"/>
                <w14:textOutline w14:w="12700" w14:cap="flat" w14:cmpd="sng" w14:algn="ctr">
                  <w14:noFill/>
                  <w14:prstDash w14:val="solid"/>
                  <w14:miter w14:lim="400000"/>
                </w14:textOutline>
              </w:rPr>
              <w:t>Wroclawia</w:t>
            </w:r>
            <w:proofErr w:type="spellEnd"/>
          </w:p>
        </w:tc>
        <w:tc>
          <w:tcPr>
            <w:tcW w:w="1753"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1B23DA77"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980CA8E"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6CE77812" w14:textId="77777777" w:rsidR="00B62810" w:rsidRDefault="00B62810"/>
        </w:tc>
      </w:tr>
      <w:tr w:rsidR="00B62810" w14:paraId="11DD950A" w14:textId="77777777">
        <w:tblPrEx>
          <w:shd w:val="clear" w:color="auto" w:fill="CED7E7"/>
        </w:tblPrEx>
        <w:trPr>
          <w:trHeight w:val="580"/>
        </w:trPr>
        <w:tc>
          <w:tcPr>
            <w:tcW w:w="2768"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0481C16" w14:textId="77777777" w:rsidR="00B62810" w:rsidRDefault="007A0F62">
            <w:pPr>
              <w:tabs>
                <w:tab w:val="left" w:pos="1440"/>
              </w:tabs>
              <w:suppressAutoHyphens/>
              <w:outlineLvl w:val="0"/>
            </w:pPr>
            <w:proofErr w:type="spellStart"/>
            <w:r>
              <w:rPr>
                <w:rFonts w:ascii="Cambria" w:hAnsi="Cambria" w:cs="Arial Unicode MS"/>
                <w:color w:val="000000"/>
                <w14:textOutline w14:w="12700" w14:cap="flat" w14:cmpd="sng" w14:algn="ctr">
                  <w14:noFill/>
                  <w14:prstDash w14:val="solid"/>
                  <w14:miter w14:lim="400000"/>
                </w14:textOutline>
              </w:rPr>
              <w:t>Dolnośląska</w:t>
            </w:r>
            <w:proofErr w:type="spellEnd"/>
            <w:r>
              <w:rPr>
                <w:rFonts w:ascii="Cambria" w:hAnsi="Cambria" w:cs="Arial Unicode MS"/>
                <w:color w:val="000000"/>
                <w14:textOutline w14:w="12700" w14:cap="flat" w14:cmpd="sng" w14:algn="ctr">
                  <w14:noFill/>
                  <w14:prstDash w14:val="solid"/>
                  <w14:miter w14:lim="400000"/>
                </w14:textOutline>
              </w:rPr>
              <w:t xml:space="preserve"> Organizacja Turystyczna</w:t>
            </w:r>
          </w:p>
        </w:tc>
        <w:tc>
          <w:tcPr>
            <w:tcW w:w="1753"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96A4910"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D81D92E" w14:textId="77777777" w:rsidR="00B62810" w:rsidRDefault="00B62810"/>
        </w:tc>
        <w:tc>
          <w:tcPr>
            <w:tcW w:w="2261"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975A8E7" w14:textId="77777777" w:rsidR="00B62810" w:rsidRDefault="00B62810"/>
        </w:tc>
      </w:tr>
    </w:tbl>
    <w:p w14:paraId="7CAB626B" w14:textId="77777777" w:rsidR="00B62810" w:rsidRDefault="00B62810">
      <w:pPr>
        <w:pStyle w:val="WordDefaultStyleA"/>
        <w:jc w:val="left"/>
        <w:rPr>
          <w:rStyle w:val="Brak"/>
          <w:color w:val="4F81BD"/>
          <w:u w:color="4F81BD"/>
        </w:rPr>
      </w:pPr>
    </w:p>
    <w:p w14:paraId="55EB8F24" w14:textId="77777777" w:rsidR="00B62810" w:rsidRDefault="00B62810">
      <w:pPr>
        <w:pStyle w:val="WordDefaultStyleA"/>
        <w:jc w:val="left"/>
        <w:rPr>
          <w:rStyle w:val="Brak"/>
          <w:color w:val="4F81BD"/>
          <w:u w:color="4F81BD"/>
        </w:rPr>
      </w:pPr>
    </w:p>
    <w:p w14:paraId="48DF440D" w14:textId="77777777" w:rsidR="00B62810" w:rsidRDefault="00B62810">
      <w:pPr>
        <w:pStyle w:val="WordDefaultStyleA"/>
        <w:jc w:val="left"/>
      </w:pPr>
    </w:p>
    <w:p w14:paraId="384276BF" w14:textId="77777777" w:rsidR="00B62810" w:rsidRDefault="00B62810">
      <w:pPr>
        <w:pStyle w:val="WordDefaultStyleA"/>
        <w:widowControl w:val="0"/>
        <w:ind w:left="324" w:hanging="324"/>
        <w:jc w:val="left"/>
      </w:pPr>
    </w:p>
    <w:p w14:paraId="68D256ED" w14:textId="77777777" w:rsidR="00B62810" w:rsidRDefault="00B62810">
      <w:pPr>
        <w:pStyle w:val="WordDefaultStyleA"/>
        <w:widowControl w:val="0"/>
        <w:ind w:left="216" w:hanging="216"/>
        <w:jc w:val="left"/>
        <w:rPr>
          <w:rStyle w:val="Brak"/>
          <w:color w:val="4F81BD"/>
          <w:u w:color="4F81BD"/>
        </w:rPr>
      </w:pPr>
    </w:p>
    <w:p w14:paraId="685D9E42" w14:textId="77777777" w:rsidR="00B62810" w:rsidRDefault="00B62810">
      <w:pPr>
        <w:pStyle w:val="WordDefaultStyleA"/>
        <w:widowControl w:val="0"/>
        <w:ind w:left="108" w:hanging="108"/>
        <w:jc w:val="left"/>
        <w:rPr>
          <w:rStyle w:val="Brak"/>
          <w:color w:val="4F81BD"/>
          <w:u w:color="4F81BD"/>
        </w:rPr>
      </w:pPr>
    </w:p>
    <w:p w14:paraId="6A8D33D9" w14:textId="77777777" w:rsidR="00B62810" w:rsidRDefault="00B62810">
      <w:pPr>
        <w:pStyle w:val="WordDefaultStyleA"/>
        <w:jc w:val="left"/>
        <w:rPr>
          <w:rStyle w:val="Brak"/>
          <w:i/>
          <w:iCs/>
          <w:color w:val="4F81BD"/>
          <w:u w:color="4F81BD"/>
        </w:rPr>
      </w:pPr>
    </w:p>
    <w:p w14:paraId="460AFEEC" w14:textId="77777777" w:rsidR="00B62810" w:rsidRDefault="00B62810">
      <w:pPr>
        <w:pStyle w:val="WordDefaultStyleA"/>
        <w:jc w:val="left"/>
        <w:rPr>
          <w:rStyle w:val="Brak"/>
          <w:i/>
          <w:iCs/>
          <w:color w:val="4F81BD"/>
          <w:u w:color="4F81BD"/>
        </w:rPr>
      </w:pPr>
    </w:p>
    <w:p w14:paraId="2EE27D93" w14:textId="77777777" w:rsidR="00B62810" w:rsidRDefault="00B62810">
      <w:pPr>
        <w:pStyle w:val="WordDefaultStyleA"/>
        <w:jc w:val="left"/>
        <w:rPr>
          <w:rStyle w:val="Brak"/>
          <w:color w:val="4F81BD"/>
          <w:u w:color="4F81BD"/>
        </w:rPr>
      </w:pPr>
    </w:p>
    <w:p w14:paraId="41F84213" w14:textId="77777777" w:rsidR="00B62810" w:rsidRDefault="00B62810">
      <w:pPr>
        <w:pStyle w:val="WordDefaultStyleA"/>
        <w:jc w:val="left"/>
        <w:rPr>
          <w:rStyle w:val="Brak"/>
          <w:color w:val="4F81BD"/>
          <w:u w:color="4F81BD"/>
        </w:rPr>
      </w:pPr>
    </w:p>
    <w:p w14:paraId="6C0BAC4A" w14:textId="77777777" w:rsidR="00B62810" w:rsidRDefault="00B62810">
      <w:pPr>
        <w:pStyle w:val="WordDefaultStyleA"/>
        <w:jc w:val="left"/>
        <w:rPr>
          <w:rStyle w:val="Brak"/>
          <w:color w:val="4F81BD"/>
          <w:u w:color="4F81BD"/>
        </w:rPr>
      </w:pPr>
    </w:p>
    <w:p w14:paraId="16DD8779" w14:textId="77777777" w:rsidR="00B62810" w:rsidRDefault="00B62810">
      <w:pPr>
        <w:pStyle w:val="WordDefaultStyleA"/>
        <w:jc w:val="left"/>
        <w:rPr>
          <w:rStyle w:val="Brak"/>
          <w:color w:val="4F81BD"/>
          <w:u w:color="4F81BD"/>
        </w:rPr>
      </w:pPr>
    </w:p>
    <w:p w14:paraId="4BA2F8B6" w14:textId="77777777" w:rsidR="00B62810" w:rsidRDefault="00B62810">
      <w:pPr>
        <w:pStyle w:val="WordDefaultStyleA"/>
        <w:jc w:val="left"/>
        <w:rPr>
          <w:rStyle w:val="BrakA"/>
        </w:rPr>
      </w:pPr>
    </w:p>
    <w:p w14:paraId="462C2A18" w14:textId="77777777" w:rsidR="00B62810" w:rsidRDefault="00B62810">
      <w:pPr>
        <w:pStyle w:val="WordDefaultStyleA"/>
        <w:jc w:val="left"/>
        <w:rPr>
          <w:rStyle w:val="Brak"/>
          <w:color w:val="4F81BD"/>
          <w:u w:color="4F81BD"/>
        </w:rPr>
      </w:pPr>
    </w:p>
    <w:p w14:paraId="2757BB9A" w14:textId="77777777" w:rsidR="00B62810" w:rsidRDefault="00B62810">
      <w:pPr>
        <w:pStyle w:val="WordDefaultStyleA"/>
        <w:jc w:val="left"/>
        <w:rPr>
          <w:rStyle w:val="BrakA"/>
        </w:rPr>
      </w:pPr>
    </w:p>
    <w:p w14:paraId="6BC4D776" w14:textId="05A00590" w:rsidR="00B62810" w:rsidRDefault="00B62810">
      <w:pPr>
        <w:pStyle w:val="WordDefaultStyleA"/>
        <w:jc w:val="left"/>
      </w:pPr>
    </w:p>
    <w:sectPr w:rsidR="00B62810">
      <w:footerReference w:type="default" r:id="rId7"/>
      <w:pgSz w:w="11900" w:h="16840"/>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47109" w14:textId="77777777" w:rsidR="007A0F62" w:rsidRDefault="007A0F62">
      <w:r>
        <w:separator/>
      </w:r>
    </w:p>
  </w:endnote>
  <w:endnote w:type="continuationSeparator" w:id="0">
    <w:p w14:paraId="113B3980" w14:textId="77777777" w:rsidR="007A0F62" w:rsidRDefault="007A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roman"/>
    <w:pitch w:val="default"/>
  </w:font>
  <w:font w:name="Arial Unicode MS">
    <w:altName w:val="Arial"/>
    <w:panose1 w:val="020B0604020202020204"/>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5C784" w14:textId="77777777" w:rsidR="00B62810" w:rsidRDefault="007A0F62">
    <w:pPr>
      <w:pStyle w:val="BodyA"/>
      <w:tabs>
        <w:tab w:val="center" w:pos="4536"/>
        <w:tab w:val="right" w:pos="9044"/>
      </w:tabs>
      <w:spacing w:after="200" w:line="276" w:lineRule="auto"/>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B7E52" w14:textId="77777777" w:rsidR="007A0F62" w:rsidRDefault="007A0F62">
      <w:r>
        <w:separator/>
      </w:r>
    </w:p>
  </w:footnote>
  <w:footnote w:type="continuationSeparator" w:id="0">
    <w:p w14:paraId="26C1F175" w14:textId="77777777" w:rsidR="007A0F62" w:rsidRDefault="007A0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9.75pt;height:39.75pt;visibility:visible" o:bullet="t">
        <v:imagedata r:id="rId1" o:title="bullet_gbutton_gray"/>
      </v:shape>
    </w:pict>
  </w:numPicBullet>
  <w:abstractNum w:abstractNumId="0" w15:restartNumberingAfterBreak="0">
    <w:nsid w:val="061630A5"/>
    <w:multiLevelType w:val="hybridMultilevel"/>
    <w:tmpl w:val="AEE89BBA"/>
    <w:styleLink w:val="Zaimportowanystyl1"/>
    <w:lvl w:ilvl="0" w:tplc="C608C9D8">
      <w:start w:val="1"/>
      <w:numFmt w:val="bullet"/>
      <w:lvlText w:val="•"/>
      <w:lvlJc w:val="left"/>
      <w:pPr>
        <w:ind w:left="1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08C29B6">
      <w:start w:val="1"/>
      <w:numFmt w:val="bullet"/>
      <w:lvlText w:val="•"/>
      <w:lvlJc w:val="left"/>
      <w:pPr>
        <w:ind w:left="7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88C8438">
      <w:start w:val="1"/>
      <w:numFmt w:val="bullet"/>
      <w:lvlText w:val="•"/>
      <w:lvlJc w:val="left"/>
      <w:pPr>
        <w:ind w:left="13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E2E23DA">
      <w:start w:val="1"/>
      <w:numFmt w:val="bullet"/>
      <w:lvlText w:val="•"/>
      <w:lvlJc w:val="left"/>
      <w:pPr>
        <w:ind w:left="19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5220142">
      <w:start w:val="1"/>
      <w:numFmt w:val="bullet"/>
      <w:lvlText w:val="•"/>
      <w:lvlJc w:val="left"/>
      <w:pPr>
        <w:ind w:left="25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C7861A8">
      <w:start w:val="1"/>
      <w:numFmt w:val="bullet"/>
      <w:lvlText w:val="•"/>
      <w:lvlJc w:val="left"/>
      <w:pPr>
        <w:ind w:left="31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290C99E">
      <w:start w:val="1"/>
      <w:numFmt w:val="bullet"/>
      <w:lvlText w:val="•"/>
      <w:lvlJc w:val="left"/>
      <w:pPr>
        <w:ind w:left="37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AB2E608">
      <w:start w:val="1"/>
      <w:numFmt w:val="bullet"/>
      <w:lvlText w:val="•"/>
      <w:lvlJc w:val="left"/>
      <w:pPr>
        <w:ind w:left="4389" w:hanging="189"/>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9C05AFE">
      <w:start w:val="1"/>
      <w:numFmt w:val="bullet"/>
      <w:lvlText w:val="•"/>
      <w:lvlJc w:val="left"/>
      <w:pPr>
        <w:ind w:left="4956" w:hanging="156"/>
      </w:pPr>
      <w:rPr>
        <w:rFonts w:ascii="Cambria" w:eastAsia="Cambria" w:hAnsi="Cambria" w:cs="Cambria"/>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63C6BE1"/>
    <w:multiLevelType w:val="hybridMultilevel"/>
    <w:tmpl w:val="CA1886D2"/>
    <w:styleLink w:val="Zaimportowanystyl2"/>
    <w:lvl w:ilvl="0" w:tplc="AC606612">
      <w:start w:val="1"/>
      <w:numFmt w:val="bullet"/>
      <w:lvlText w:val="·"/>
      <w:lvlPicBulletId w:val="0"/>
      <w:lvlJc w:val="left"/>
      <w:pPr>
        <w:ind w:left="1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1" w:tplc="2A50917A">
      <w:start w:val="1"/>
      <w:numFmt w:val="bullet"/>
      <w:suff w:val="nothing"/>
      <w:lvlText w:val="·"/>
      <w:lvlPicBulletId w:val="0"/>
      <w:lvlJc w:val="left"/>
      <w:pPr>
        <w:ind w:left="708" w:hanging="108"/>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2" w:tplc="5AD2B022">
      <w:start w:val="1"/>
      <w:numFmt w:val="bullet"/>
      <w:lvlText w:val="·"/>
      <w:lvlPicBulletId w:val="0"/>
      <w:lvlJc w:val="left"/>
      <w:pPr>
        <w:ind w:left="13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3" w:tplc="A482AB92">
      <w:start w:val="1"/>
      <w:numFmt w:val="bullet"/>
      <w:lvlText w:val="·"/>
      <w:lvlPicBulletId w:val="0"/>
      <w:lvlJc w:val="left"/>
      <w:pPr>
        <w:ind w:left="19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4" w:tplc="AA0E5694">
      <w:start w:val="1"/>
      <w:numFmt w:val="bullet"/>
      <w:lvlText w:val="·"/>
      <w:lvlPicBulletId w:val="0"/>
      <w:lvlJc w:val="left"/>
      <w:pPr>
        <w:ind w:left="25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5" w:tplc="F50C5F9C">
      <w:start w:val="1"/>
      <w:numFmt w:val="bullet"/>
      <w:lvlText w:val="·"/>
      <w:lvlPicBulletId w:val="0"/>
      <w:lvlJc w:val="left"/>
      <w:pPr>
        <w:ind w:left="31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6" w:tplc="791C9EC4">
      <w:start w:val="1"/>
      <w:numFmt w:val="bullet"/>
      <w:lvlText w:val="·"/>
      <w:lvlPicBulletId w:val="0"/>
      <w:lvlJc w:val="left"/>
      <w:pPr>
        <w:ind w:left="37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7" w:tplc="3A1CB81E">
      <w:start w:val="1"/>
      <w:numFmt w:val="bullet"/>
      <w:lvlText w:val="·"/>
      <w:lvlPicBulletId w:val="0"/>
      <w:lvlJc w:val="left"/>
      <w:pPr>
        <w:ind w:left="43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 w:ilvl="8" w:tplc="0F0EC892">
      <w:start w:val="1"/>
      <w:numFmt w:val="bullet"/>
      <w:suff w:val="nothing"/>
      <w:lvlText w:val="·"/>
      <w:lvlPicBulletId w:val="0"/>
      <w:lvlJc w:val="left"/>
      <w:pPr>
        <w:ind w:left="4956" w:hanging="156"/>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abstractNum>
  <w:abstractNum w:abstractNumId="2" w15:restartNumberingAfterBreak="0">
    <w:nsid w:val="0E3670EA"/>
    <w:multiLevelType w:val="hybridMultilevel"/>
    <w:tmpl w:val="5F4C513C"/>
    <w:numStyleLink w:val="Zaimportowanystyl3"/>
  </w:abstractNum>
  <w:abstractNum w:abstractNumId="3" w15:restartNumberingAfterBreak="0">
    <w:nsid w:val="1CAF2D40"/>
    <w:multiLevelType w:val="hybridMultilevel"/>
    <w:tmpl w:val="52226EFE"/>
    <w:styleLink w:val="Zaimportowanystyl4"/>
    <w:lvl w:ilvl="0" w:tplc="A28AFEA0">
      <w:start w:val="1"/>
      <w:numFmt w:val="bullet"/>
      <w:lvlText w:val="●"/>
      <w:lvlJc w:val="left"/>
      <w:pPr>
        <w:ind w:left="69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21EB6EA">
      <w:start w:val="1"/>
      <w:numFmt w:val="bullet"/>
      <w:lvlText w:val="o"/>
      <w:lvlJc w:val="left"/>
      <w:pPr>
        <w:ind w:left="141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DCA5344">
      <w:start w:val="1"/>
      <w:numFmt w:val="bullet"/>
      <w:lvlText w:val="▪"/>
      <w:lvlJc w:val="left"/>
      <w:pPr>
        <w:ind w:left="212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A4479E8">
      <w:start w:val="1"/>
      <w:numFmt w:val="bullet"/>
      <w:lvlText w:val="●"/>
      <w:lvlJc w:val="left"/>
      <w:pPr>
        <w:ind w:left="2832" w:hanging="312"/>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4C88CC6">
      <w:start w:val="1"/>
      <w:numFmt w:val="bullet"/>
      <w:lvlText w:val="o"/>
      <w:lvlJc w:val="left"/>
      <w:pPr>
        <w:ind w:left="354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FE2EBE">
      <w:start w:val="1"/>
      <w:numFmt w:val="bullet"/>
      <w:lvlText w:val="▪"/>
      <w:lvlJc w:val="left"/>
      <w:pPr>
        <w:ind w:left="42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D90FC1E">
      <w:start w:val="1"/>
      <w:numFmt w:val="bullet"/>
      <w:lvlText w:val="●"/>
      <w:lvlJc w:val="left"/>
      <w:pPr>
        <w:ind w:left="4956" w:hanging="2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FEA7E22">
      <w:start w:val="1"/>
      <w:numFmt w:val="bullet"/>
      <w:lvlText w:val="o"/>
      <w:lvlJc w:val="left"/>
      <w:pPr>
        <w:ind w:left="5664" w:hanging="26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1C0E0C">
      <w:start w:val="1"/>
      <w:numFmt w:val="bullet"/>
      <w:lvlText w:val="▪"/>
      <w:lvlJc w:val="left"/>
      <w:pPr>
        <w:ind w:left="6372" w:hanging="2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5CA32FFC"/>
    <w:multiLevelType w:val="hybridMultilevel"/>
    <w:tmpl w:val="05504D58"/>
    <w:styleLink w:val="Zaimportowanystyl5"/>
    <w:lvl w:ilvl="0" w:tplc="9C107EF8">
      <w:start w:val="1"/>
      <w:numFmt w:val="decimal"/>
      <w:lvlText w:val="%1."/>
      <w:lvlJc w:val="left"/>
      <w:pPr>
        <w:ind w:left="611" w:hanging="393"/>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1" w:tplc="55AAC704">
      <w:start w:val="1"/>
      <w:numFmt w:val="lowerLetter"/>
      <w:suff w:val="nothing"/>
      <w:lvlText w:val="%2."/>
      <w:lvlJc w:val="left"/>
      <w:pPr>
        <w:ind w:left="133" w:hanging="133"/>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2" w:tplc="70A032DA">
      <w:start w:val="1"/>
      <w:numFmt w:val="lowerRoman"/>
      <w:suff w:val="nothing"/>
      <w:lvlText w:val="%3."/>
      <w:lvlJc w:val="left"/>
      <w:pPr>
        <w:ind w:left="133" w:hanging="133"/>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3" w:tplc="5ED0EFCE">
      <w:start w:val="1"/>
      <w:numFmt w:val="decimal"/>
      <w:suff w:val="nothing"/>
      <w:lvlText w:val="%4."/>
      <w:lvlJc w:val="left"/>
      <w:pPr>
        <w:ind w:left="133" w:hanging="133"/>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4" w:tplc="6E96D208">
      <w:start w:val="1"/>
      <w:numFmt w:val="lowerLetter"/>
      <w:suff w:val="nothing"/>
      <w:lvlText w:val="%5."/>
      <w:lvlJc w:val="left"/>
      <w:pPr>
        <w:ind w:left="133" w:hanging="133"/>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5" w:tplc="11847426">
      <w:start w:val="1"/>
      <w:numFmt w:val="lowerRoman"/>
      <w:suff w:val="nothing"/>
      <w:lvlText w:val="%6."/>
      <w:lvlJc w:val="left"/>
      <w:pPr>
        <w:ind w:left="133" w:hanging="133"/>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6" w:tplc="6A20C37C">
      <w:start w:val="1"/>
      <w:numFmt w:val="decimal"/>
      <w:suff w:val="nothing"/>
      <w:lvlText w:val="%7."/>
      <w:lvlJc w:val="left"/>
      <w:pPr>
        <w:ind w:left="133" w:hanging="133"/>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7" w:tplc="F2B23C3C">
      <w:start w:val="1"/>
      <w:numFmt w:val="lowerLetter"/>
      <w:suff w:val="nothing"/>
      <w:lvlText w:val="%8."/>
      <w:lvlJc w:val="left"/>
      <w:pPr>
        <w:ind w:left="133" w:hanging="133"/>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lvl w:ilvl="8" w:tplc="5D60C290">
      <w:start w:val="1"/>
      <w:numFmt w:val="lowerRoman"/>
      <w:suff w:val="nothing"/>
      <w:lvlText w:val="%9."/>
      <w:lvlJc w:val="left"/>
      <w:pPr>
        <w:ind w:left="133" w:hanging="133"/>
      </w:pPr>
      <w:rPr>
        <w:rFonts w:hAnsi="Arial Unicode M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5" w15:restartNumberingAfterBreak="0">
    <w:nsid w:val="5E622148"/>
    <w:multiLevelType w:val="hybridMultilevel"/>
    <w:tmpl w:val="AEE89BBA"/>
    <w:numStyleLink w:val="Zaimportowanystyl1"/>
  </w:abstractNum>
  <w:abstractNum w:abstractNumId="6" w15:restartNumberingAfterBreak="0">
    <w:nsid w:val="610E24DF"/>
    <w:multiLevelType w:val="hybridMultilevel"/>
    <w:tmpl w:val="5F4C513C"/>
    <w:styleLink w:val="Zaimportowanystyl3"/>
    <w:lvl w:ilvl="0" w:tplc="E0A81E3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13A5E4E">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3CA6FBBA">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9EE43A9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8690B7F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69960A5C">
      <w:start w:val="1"/>
      <w:numFmt w:val="decimal"/>
      <w:lvlText w:val="%6."/>
      <w:lvlJc w:val="left"/>
      <w:pPr>
        <w:ind w:left="4248" w:hanging="24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B950EAFA">
      <w:start w:val="1"/>
      <w:numFmt w:val="decimal"/>
      <w:suff w:val="nothing"/>
      <w:lvlText w:val="%7."/>
      <w:lvlJc w:val="left"/>
      <w:pPr>
        <w:ind w:left="4933" w:hanging="13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2CB0B5F2">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8FF8C85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67A6180F"/>
    <w:multiLevelType w:val="hybridMultilevel"/>
    <w:tmpl w:val="CA1886D2"/>
    <w:numStyleLink w:val="Zaimportowanystyl2"/>
  </w:abstractNum>
  <w:abstractNum w:abstractNumId="8" w15:restartNumberingAfterBreak="0">
    <w:nsid w:val="78CD1571"/>
    <w:multiLevelType w:val="hybridMultilevel"/>
    <w:tmpl w:val="05504D58"/>
    <w:numStyleLink w:val="Zaimportowanystyl5"/>
  </w:abstractNum>
  <w:abstractNum w:abstractNumId="9" w15:restartNumberingAfterBreak="0">
    <w:nsid w:val="7E6D6D05"/>
    <w:multiLevelType w:val="hybridMultilevel"/>
    <w:tmpl w:val="52226EFE"/>
    <w:numStyleLink w:val="Zaimportowanystyl4"/>
  </w:abstractNum>
  <w:num w:numId="1" w16cid:durableId="1579634519">
    <w:abstractNumId w:val="0"/>
  </w:num>
  <w:num w:numId="2" w16cid:durableId="801339177">
    <w:abstractNumId w:val="5"/>
  </w:num>
  <w:num w:numId="3" w16cid:durableId="349724672">
    <w:abstractNumId w:val="1"/>
  </w:num>
  <w:num w:numId="4" w16cid:durableId="1091394355">
    <w:abstractNumId w:val="7"/>
  </w:num>
  <w:num w:numId="5" w16cid:durableId="247539123">
    <w:abstractNumId w:val="7"/>
    <w:lvlOverride w:ilvl="0">
      <w:lvl w:ilvl="0" w:tplc="ACB8C2CE">
        <w:start w:val="1"/>
        <w:numFmt w:val="bullet"/>
        <w:lvlText w:val="·"/>
        <w:lvlPicBulletId w:val="0"/>
        <w:lvlJc w:val="left"/>
        <w:pPr>
          <w:tabs>
            <w:tab w:val="left" w:pos="8564"/>
          </w:tabs>
          <w:ind w:left="1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1">
      <w:lvl w:ilvl="1" w:tplc="CA70DCAA">
        <w:start w:val="1"/>
        <w:numFmt w:val="bullet"/>
        <w:lvlText w:val="·"/>
        <w:lvlPicBulletId w:val="0"/>
        <w:lvlJc w:val="left"/>
        <w:pPr>
          <w:tabs>
            <w:tab w:val="left" w:pos="8564"/>
          </w:tabs>
          <w:ind w:left="7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2">
      <w:lvl w:ilvl="2" w:tplc="E0943B8E">
        <w:start w:val="1"/>
        <w:numFmt w:val="bullet"/>
        <w:lvlText w:val="·"/>
        <w:lvlPicBulletId w:val="0"/>
        <w:lvlJc w:val="left"/>
        <w:pPr>
          <w:tabs>
            <w:tab w:val="left" w:pos="8564"/>
          </w:tabs>
          <w:ind w:left="13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3">
      <w:lvl w:ilvl="3" w:tplc="3E746CEA">
        <w:start w:val="1"/>
        <w:numFmt w:val="bullet"/>
        <w:lvlText w:val="·"/>
        <w:lvlPicBulletId w:val="0"/>
        <w:lvlJc w:val="left"/>
        <w:pPr>
          <w:tabs>
            <w:tab w:val="left" w:pos="8564"/>
          </w:tabs>
          <w:ind w:left="19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4">
      <w:lvl w:ilvl="4" w:tplc="AF4C9D8C">
        <w:start w:val="1"/>
        <w:numFmt w:val="bullet"/>
        <w:lvlText w:val="·"/>
        <w:lvlPicBulletId w:val="0"/>
        <w:lvlJc w:val="left"/>
        <w:pPr>
          <w:tabs>
            <w:tab w:val="left" w:pos="8564"/>
          </w:tabs>
          <w:ind w:left="25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5">
      <w:lvl w:ilvl="5" w:tplc="B4501870">
        <w:start w:val="1"/>
        <w:numFmt w:val="bullet"/>
        <w:lvlText w:val="·"/>
        <w:lvlPicBulletId w:val="0"/>
        <w:lvlJc w:val="left"/>
        <w:pPr>
          <w:tabs>
            <w:tab w:val="left" w:pos="8564"/>
          </w:tabs>
          <w:ind w:left="31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6">
      <w:lvl w:ilvl="6" w:tplc="D4DECCBE">
        <w:start w:val="1"/>
        <w:numFmt w:val="bullet"/>
        <w:lvlText w:val="·"/>
        <w:lvlPicBulletId w:val="0"/>
        <w:lvlJc w:val="left"/>
        <w:pPr>
          <w:tabs>
            <w:tab w:val="left" w:pos="8564"/>
          </w:tabs>
          <w:ind w:left="37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7">
      <w:lvl w:ilvl="7" w:tplc="19DE97D2">
        <w:start w:val="1"/>
        <w:numFmt w:val="bullet"/>
        <w:lvlText w:val="·"/>
        <w:lvlPicBulletId w:val="0"/>
        <w:lvlJc w:val="left"/>
        <w:pPr>
          <w:tabs>
            <w:tab w:val="left" w:pos="8564"/>
          </w:tabs>
          <w:ind w:left="43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lvlOverride w:ilvl="8">
      <w:lvl w:ilvl="8" w:tplc="DFA68086">
        <w:start w:val="1"/>
        <w:numFmt w:val="bullet"/>
        <w:lvlText w:val="·"/>
        <w:lvlPicBulletId w:val="0"/>
        <w:lvlJc w:val="left"/>
        <w:pPr>
          <w:tabs>
            <w:tab w:val="left" w:pos="8564"/>
          </w:tabs>
          <w:ind w:left="4989"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sz w:val="14"/>
          <w:szCs w:val="14"/>
          <w:highlight w:val="none"/>
          <w:vertAlign w:val="baseline"/>
        </w:rPr>
      </w:lvl>
    </w:lvlOverride>
  </w:num>
  <w:num w:numId="6" w16cid:durableId="1569880162">
    <w:abstractNumId w:val="6"/>
  </w:num>
  <w:num w:numId="7" w16cid:durableId="817692970">
    <w:abstractNumId w:val="2"/>
  </w:num>
  <w:num w:numId="8" w16cid:durableId="1771585839">
    <w:abstractNumId w:val="3"/>
  </w:num>
  <w:num w:numId="9" w16cid:durableId="1379814709">
    <w:abstractNumId w:val="9"/>
  </w:num>
  <w:num w:numId="10" w16cid:durableId="680276227">
    <w:abstractNumId w:val="4"/>
  </w:num>
  <w:num w:numId="11" w16cid:durableId="667291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10"/>
    <w:rsid w:val="00340C98"/>
    <w:rsid w:val="00511909"/>
    <w:rsid w:val="00696ABD"/>
    <w:rsid w:val="006A367F"/>
    <w:rsid w:val="007A0F62"/>
    <w:rsid w:val="00B62810"/>
    <w:rsid w:val="00BA4E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F1F0CF"/>
  <w15:docId w15:val="{CDF02157-E890-4CBB-A647-60854D63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outlineLvl w:val="0"/>
    </w:pPr>
    <w:rPr>
      <w:rFonts w:cs="Arial Unicode MS"/>
      <w:color w:val="000000"/>
      <w:sz w:val="24"/>
      <w:szCs w:val="24"/>
      <w:u w:color="FFFFFF"/>
      <w:lang w:val="sv-SE"/>
      <w14:textOutline w14:w="12700" w14:cap="flat" w14:cmpd="sng" w14:algn="ctr">
        <w14:noFill/>
        <w14:prstDash w14:val="solid"/>
        <w14:miter w14:lim="400000"/>
      </w14:textOutline>
    </w:rPr>
  </w:style>
  <w:style w:type="character" w:customStyle="1" w:styleId="BrakA">
    <w:name w:val="Brak A"/>
  </w:style>
  <w:style w:type="paragraph" w:customStyle="1" w:styleId="WordDefaultStyleA">
    <w:name w:val="Word Default Style 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jc w:val="both"/>
    </w:pPr>
    <w:rPr>
      <w:rFonts w:ascii="Cambria" w:hAnsi="Cambria" w:cs="Arial Unicode MS"/>
      <w:color w:val="000000"/>
      <w:sz w:val="24"/>
      <w:szCs w:val="24"/>
      <w:u w:color="000000"/>
      <w:lang w:val="sv-SE"/>
      <w14:textOutline w14:w="12700" w14:cap="flat" w14:cmpd="sng" w14:algn="ctr">
        <w14:noFill/>
        <w14:prstDash w14:val="solid"/>
        <w14:miter w14:lim="400000"/>
      </w14:textOutline>
    </w:rPr>
  </w:style>
  <w:style w:type="paragraph" w:styleId="Spistreci1">
    <w:name w:val="toc 1"/>
    <w:pPr>
      <w:tabs>
        <w:tab w:val="right" w:pos="9044"/>
      </w:tabs>
      <w:spacing w:before="160"/>
    </w:pPr>
    <w:rPr>
      <w:rFonts w:ascii="Cambria" w:eastAsia="Cambria" w:hAnsi="Cambria" w:cs="Cambria"/>
      <w:color w:val="000000"/>
      <w:sz w:val="24"/>
      <w:szCs w:val="24"/>
      <w:u w:color="000000"/>
      <w:lang w:val="sv-SE"/>
    </w:rPr>
  </w:style>
  <w:style w:type="paragraph" w:customStyle="1" w:styleId="TreA">
    <w:name w:val="Treść A"/>
    <w:rPr>
      <w:rFonts w:eastAsia="Times New Roman"/>
      <w:color w:val="000000"/>
      <w:sz w:val="24"/>
      <w:szCs w:val="24"/>
      <w:u w:color="000000"/>
      <w:lang w:val="sv-SE"/>
      <w14:textOutline w14:w="12700" w14:cap="flat" w14:cmpd="sng" w14:algn="ctr">
        <w14:noFill/>
        <w14:prstDash w14:val="solid"/>
        <w14:miter w14:lim="400000"/>
      </w14:textOutline>
    </w:rPr>
  </w:style>
  <w:style w:type="character" w:customStyle="1" w:styleId="Brak">
    <w:name w:val="Brak"/>
  </w:style>
  <w:style w:type="character" w:customStyle="1" w:styleId="Hyperlink0">
    <w:name w:val="Hyperlink.0"/>
    <w:basedOn w:val="Brak"/>
    <w:rPr>
      <w:rFonts w:ascii="Cambria" w:eastAsia="Cambria" w:hAnsi="Cambria" w:cs="Cambria"/>
      <w:outline w:val="0"/>
      <w:color w:val="0000FF"/>
      <w:sz w:val="18"/>
      <w:szCs w:val="18"/>
      <w:u w:val="single" w:color="0000FF"/>
      <w:lang w:val="sv-SE"/>
    </w:rPr>
  </w:style>
  <w:style w:type="character" w:customStyle="1" w:styleId="Hyperlink1">
    <w:name w:val="Hyperlink.1"/>
    <w:basedOn w:val="Brak"/>
    <w:rPr>
      <w:rFonts w:ascii="Cambria" w:eastAsia="Cambria" w:hAnsi="Cambria" w:cs="Cambria"/>
      <w:outline w:val="0"/>
      <w:color w:val="0000FF"/>
      <w:sz w:val="18"/>
      <w:szCs w:val="18"/>
      <w:u w:val="single" w:color="0000FF"/>
      <w:lang w:val="en-US"/>
    </w:rPr>
  </w:style>
  <w:style w:type="character" w:customStyle="1" w:styleId="Hyperlink2">
    <w:name w:val="Hyperlink.2"/>
    <w:basedOn w:val="Brak"/>
    <w:rPr>
      <w:rFonts w:ascii="Cambria" w:eastAsia="Cambria" w:hAnsi="Cambria" w:cs="Cambria"/>
      <w:outline w:val="0"/>
      <w:color w:val="0000FF"/>
      <w:sz w:val="18"/>
      <w:szCs w:val="18"/>
      <w:u w:val="single" w:color="0000FF"/>
      <w:lang w:val="de-DE"/>
    </w:rPr>
  </w:style>
  <w:style w:type="character" w:customStyle="1" w:styleId="Hyperlink3">
    <w:name w:val="Hyperlink.3"/>
    <w:basedOn w:val="Brak"/>
    <w:rPr>
      <w:rFonts w:ascii="Cambria" w:eastAsia="Cambria" w:hAnsi="Cambria" w:cs="Cambria"/>
      <w:outline w:val="0"/>
      <w:color w:val="0000FF"/>
      <w:sz w:val="22"/>
      <w:szCs w:val="22"/>
      <w:u w:val="single" w:color="0000FF"/>
      <w:lang w:val="sv-SE"/>
    </w:rPr>
  </w:style>
  <w:style w:type="numbering" w:customStyle="1" w:styleId="Zaimportowanystyl1">
    <w:name w:val="Zaimportowany styl 1"/>
    <w:pPr>
      <w:numPr>
        <w:numId w:val="1"/>
      </w:numPr>
    </w:pPr>
  </w:style>
  <w:style w:type="character" w:customStyle="1" w:styleId="Hyperlink4">
    <w:name w:val="Hyperlink.4"/>
    <w:basedOn w:val="Brak"/>
    <w:rPr>
      <w:rFonts w:ascii="Cambria" w:eastAsia="Cambria" w:hAnsi="Cambria" w:cs="Cambria"/>
      <w:caps w:val="0"/>
      <w:smallCaps w:val="0"/>
      <w:strike w:val="0"/>
      <w:dstrike w:val="0"/>
      <w:outline w:val="0"/>
      <w:color w:val="0000FF"/>
      <w:position w:val="0"/>
      <w:sz w:val="20"/>
      <w:szCs w:val="20"/>
      <w:u w:val="single" w:color="0000FF"/>
      <w:vertAlign w:val="baseline"/>
    </w:rPr>
  </w:style>
  <w:style w:type="character" w:customStyle="1" w:styleId="Hyperlink5">
    <w:name w:val="Hyperlink.5"/>
    <w:basedOn w:val="Brak"/>
    <w:rPr>
      <w:outline w:val="0"/>
      <w:color w:val="0000FF"/>
      <w:u w:val="single" w:color="0000FF"/>
    </w:rPr>
  </w:style>
  <w:style w:type="character" w:customStyle="1" w:styleId="Hyperlink6">
    <w:name w:val="Hyperlink.6"/>
    <w:basedOn w:val="Brak"/>
    <w:rPr>
      <w:rFonts w:ascii="Cambria" w:eastAsia="Cambria" w:hAnsi="Cambria" w:cs="Cambria"/>
      <w:caps w:val="0"/>
      <w:smallCaps w:val="0"/>
      <w:strike w:val="0"/>
      <w:dstrike w:val="0"/>
      <w:outline w:val="0"/>
      <w:color w:val="0000FF"/>
      <w:position w:val="0"/>
      <w:u w:val="single" w:color="0000FF"/>
      <w:vertAlign w:val="baseline"/>
      <w:lang w:val="de-DE"/>
    </w:rPr>
  </w:style>
  <w:style w:type="character" w:customStyle="1" w:styleId="Hyperlink7">
    <w:name w:val="Hyperlink.7"/>
    <w:basedOn w:val="Brak"/>
    <w:rPr>
      <w:rFonts w:ascii="Cambria" w:eastAsia="Cambria" w:hAnsi="Cambria" w:cs="Cambria"/>
      <w:caps w:val="0"/>
      <w:smallCaps w:val="0"/>
      <w:strike w:val="0"/>
      <w:dstrike w:val="0"/>
      <w:outline w:val="0"/>
      <w:color w:val="0000FF"/>
      <w:position w:val="0"/>
      <w:sz w:val="22"/>
      <w:szCs w:val="22"/>
      <w:u w:val="single" w:color="0000FF"/>
      <w:vertAlign w:val="baseline"/>
      <w:lang w:val="en-US"/>
    </w:rPr>
  </w:style>
  <w:style w:type="paragraph" w:customStyle="1" w:styleId="Body">
    <w:name w:val="Body"/>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Tre">
    <w:name w:val="Treść"/>
    <w:rPr>
      <w:rFonts w:cs="Arial Unicode MS"/>
      <w:color w:val="000000"/>
      <w:sz w:val="24"/>
      <w:szCs w:val="24"/>
      <w:u w:color="FFFFFF"/>
      <w14:textOutline w14:w="0" w14:cap="flat" w14:cmpd="sng" w14:algn="ctr">
        <w14:noFill/>
        <w14:prstDash w14:val="solid"/>
        <w14:bevel/>
      </w14:textOutline>
    </w:rPr>
  </w:style>
  <w:style w:type="character" w:customStyle="1" w:styleId="Hyperlink8">
    <w:name w:val="Hyperlink.8"/>
    <w:basedOn w:val="Brak"/>
    <w:rPr>
      <w:rFonts w:ascii="Cambria" w:eastAsia="Cambria" w:hAnsi="Cambria" w:cs="Cambria"/>
      <w:caps w:val="0"/>
      <w:smallCaps w:val="0"/>
      <w:strike w:val="0"/>
      <w:dstrike w:val="0"/>
      <w:outline w:val="0"/>
      <w:color w:val="0000FF"/>
      <w:position w:val="0"/>
      <w:u w:val="single" w:color="0000FF"/>
      <w:vertAlign w:val="baseline"/>
    </w:rPr>
  </w:style>
  <w:style w:type="character" w:customStyle="1" w:styleId="Hyperlink9">
    <w:name w:val="Hyperlink.9"/>
    <w:basedOn w:val="Brak"/>
    <w:rPr>
      <w:rFonts w:ascii="Cambria" w:eastAsia="Cambria" w:hAnsi="Cambria" w:cs="Cambria"/>
      <w:caps w:val="0"/>
      <w:smallCaps w:val="0"/>
      <w:strike w:val="0"/>
      <w:dstrike w:val="0"/>
      <w:outline w:val="0"/>
      <w:color w:val="0000FF"/>
      <w:position w:val="0"/>
      <w:sz w:val="22"/>
      <w:szCs w:val="22"/>
      <w:u w:val="single" w:color="0000FF"/>
      <w:vertAlign w:val="baseline"/>
    </w:rPr>
  </w:style>
  <w:style w:type="numbering" w:customStyle="1" w:styleId="Zaimportowanystyl2">
    <w:name w:val="Zaimportowany styl 2"/>
    <w:pPr>
      <w:numPr>
        <w:numId w:val="3"/>
      </w:numPr>
    </w:pPr>
  </w:style>
  <w:style w:type="paragraph" w:customStyle="1" w:styleId="DomylneA">
    <w:name w:val="Domyślne A"/>
    <w:pPr>
      <w:spacing w:before="160" w:line="288" w:lineRule="auto"/>
    </w:pPr>
    <w:rPr>
      <w:rFonts w:ascii="Helvetica Neue" w:hAnsi="Helvetica Neue" w:cs="Arial Unicode MS"/>
      <w:color w:val="000000"/>
      <w:sz w:val="24"/>
      <w:szCs w:val="24"/>
      <w:u w:color="FFFFFF"/>
      <w:lang w:val="sv-SE"/>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lang w:val="sv-SE"/>
      <w14:textOutline w14:w="12700" w14:cap="flat" w14:cmpd="sng" w14:algn="ctr">
        <w14:noFill/>
        <w14:prstDash w14:val="solid"/>
        <w14:miter w14:lim="400000"/>
      </w14:textOutline>
    </w:rPr>
  </w:style>
  <w:style w:type="numbering" w:customStyle="1" w:styleId="Zaimportowanystyl3">
    <w:name w:val="Zaimportowany styl 3"/>
    <w:pPr>
      <w:numPr>
        <w:numId w:val="6"/>
      </w:numPr>
    </w:pPr>
  </w:style>
  <w:style w:type="numbering" w:customStyle="1" w:styleId="Zaimportowanystyl4">
    <w:name w:val="Zaimportowany styl 4"/>
    <w:pPr>
      <w:numPr>
        <w:numId w:val="8"/>
      </w:numPr>
    </w:pPr>
  </w:style>
  <w:style w:type="paragraph" w:customStyle="1" w:styleId="TreB">
    <w:name w:val="Treść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Zaimportowanystyl5">
    <w:name w:val="Zaimportowany styl 5"/>
    <w:pPr>
      <w:numPr>
        <w:numId w:val="10"/>
      </w:numPr>
    </w:pPr>
  </w:style>
  <w:style w:type="paragraph" w:styleId="Nagwek">
    <w:name w:val="header"/>
    <w:basedOn w:val="Normalny"/>
    <w:link w:val="NagwekZnak"/>
    <w:uiPriority w:val="99"/>
    <w:unhideWhenUsed/>
    <w:rsid w:val="00511909"/>
    <w:pPr>
      <w:tabs>
        <w:tab w:val="center" w:pos="4536"/>
        <w:tab w:val="right" w:pos="9072"/>
      </w:tabs>
    </w:pPr>
  </w:style>
  <w:style w:type="character" w:customStyle="1" w:styleId="NagwekZnak">
    <w:name w:val="Nagłówek Znak"/>
    <w:basedOn w:val="Domylnaczcionkaakapitu"/>
    <w:link w:val="Nagwek"/>
    <w:uiPriority w:val="99"/>
    <w:rsid w:val="00511909"/>
    <w:rPr>
      <w:sz w:val="24"/>
      <w:szCs w:val="24"/>
      <w:lang w:val="en-US" w:eastAsia="en-US"/>
    </w:rPr>
  </w:style>
  <w:style w:type="paragraph" w:styleId="Stopka">
    <w:name w:val="footer"/>
    <w:basedOn w:val="Normalny"/>
    <w:link w:val="StopkaZnak"/>
    <w:uiPriority w:val="99"/>
    <w:unhideWhenUsed/>
    <w:rsid w:val="00511909"/>
    <w:pPr>
      <w:tabs>
        <w:tab w:val="center" w:pos="4536"/>
        <w:tab w:val="right" w:pos="9072"/>
      </w:tabs>
    </w:pPr>
  </w:style>
  <w:style w:type="character" w:customStyle="1" w:styleId="StopkaZnak">
    <w:name w:val="Stopka Znak"/>
    <w:basedOn w:val="Domylnaczcionkaakapitu"/>
    <w:link w:val="Stopka"/>
    <w:uiPriority w:val="99"/>
    <w:rsid w:val="0051190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23</Pages>
  <Words>6016</Words>
  <Characters>36096</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Maciąga Anna</dc:creator>
  <cp:lastModifiedBy>Maciąga Anna</cp:lastModifiedBy>
  <cp:revision>3</cp:revision>
  <dcterms:created xsi:type="dcterms:W3CDTF">2024-09-11T10:35:00Z</dcterms:created>
  <dcterms:modified xsi:type="dcterms:W3CDTF">2024-09-11T10:53:00Z</dcterms:modified>
</cp:coreProperties>
</file>