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F347" w14:textId="55D5B615" w:rsidR="00054887" w:rsidRPr="00D52669" w:rsidRDefault="00054887" w:rsidP="002107F4">
      <w:pPr>
        <w:pStyle w:val="Tytu"/>
        <w:rPr>
          <w:lang w:val="pl-PL"/>
        </w:rPr>
      </w:pPr>
    </w:p>
    <w:p w14:paraId="2C35CA67" w14:textId="77777777" w:rsidR="00054887" w:rsidRPr="00D52669" w:rsidRDefault="00054887" w:rsidP="00054887"/>
    <w:p w14:paraId="26A2A291" w14:textId="77777777" w:rsidR="00054887" w:rsidRPr="00D52669" w:rsidRDefault="00054887" w:rsidP="00054887"/>
    <w:p w14:paraId="484363A6" w14:textId="77777777" w:rsidR="00054887" w:rsidRPr="00D52669" w:rsidRDefault="00054887" w:rsidP="00054887"/>
    <w:p w14:paraId="5C52C260" w14:textId="77777777" w:rsidR="00054887" w:rsidRPr="00D52669" w:rsidRDefault="00054887" w:rsidP="00054887"/>
    <w:p w14:paraId="6DF7CC5E" w14:textId="77777777" w:rsidR="00054887" w:rsidRPr="00D52669" w:rsidRDefault="00054887">
      <w:pPr>
        <w:spacing w:after="0" w:line="240" w:lineRule="auto"/>
      </w:pPr>
    </w:p>
    <w:p w14:paraId="566816C7" w14:textId="77777777" w:rsidR="00054887" w:rsidRPr="00D52669" w:rsidRDefault="00054887">
      <w:pPr>
        <w:spacing w:after="0" w:line="240" w:lineRule="auto"/>
      </w:pPr>
    </w:p>
    <w:p w14:paraId="723EA808" w14:textId="77777777" w:rsidR="00054887" w:rsidRPr="00D52669" w:rsidRDefault="00054887">
      <w:pPr>
        <w:spacing w:after="0" w:line="240" w:lineRule="auto"/>
      </w:pPr>
    </w:p>
    <w:p w14:paraId="68C12FA4" w14:textId="77777777" w:rsidR="00054887" w:rsidRPr="00D52669" w:rsidRDefault="00054887" w:rsidP="00054887">
      <w:pPr>
        <w:spacing w:after="0" w:line="240" w:lineRule="auto"/>
        <w:jc w:val="both"/>
      </w:pPr>
    </w:p>
    <w:p w14:paraId="564DA6C8" w14:textId="77777777" w:rsidR="00054887" w:rsidRPr="00D52669" w:rsidRDefault="00054887" w:rsidP="00054887">
      <w:pPr>
        <w:spacing w:after="0" w:line="240" w:lineRule="auto"/>
        <w:jc w:val="both"/>
      </w:pPr>
    </w:p>
    <w:p w14:paraId="7C041853" w14:textId="77777777" w:rsidR="00054887" w:rsidRPr="00D52669" w:rsidRDefault="00054887" w:rsidP="00054887">
      <w:pPr>
        <w:spacing w:after="0" w:line="240" w:lineRule="auto"/>
        <w:jc w:val="both"/>
      </w:pPr>
    </w:p>
    <w:p w14:paraId="442627E8" w14:textId="77777777" w:rsidR="00054887" w:rsidRPr="00D52669" w:rsidRDefault="00054887" w:rsidP="00054887">
      <w:pPr>
        <w:spacing w:after="0" w:line="240" w:lineRule="auto"/>
        <w:jc w:val="both"/>
      </w:pPr>
    </w:p>
    <w:p w14:paraId="06D5BD96" w14:textId="77777777" w:rsidR="00054887" w:rsidRPr="00D52669" w:rsidRDefault="00054887" w:rsidP="00054887">
      <w:pPr>
        <w:spacing w:after="0" w:line="240" w:lineRule="auto"/>
        <w:jc w:val="both"/>
      </w:pPr>
    </w:p>
    <w:p w14:paraId="50D6CFD9" w14:textId="77777777" w:rsidR="00054887" w:rsidRPr="00D52669" w:rsidRDefault="00054887" w:rsidP="00054887">
      <w:pPr>
        <w:spacing w:after="0" w:line="240" w:lineRule="auto"/>
        <w:jc w:val="both"/>
      </w:pPr>
    </w:p>
    <w:p w14:paraId="5BF0A60D" w14:textId="77777777" w:rsidR="00EC6456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Zagraniczny Ośrodek </w:t>
      </w:r>
    </w:p>
    <w:p w14:paraId="3A1F21FB" w14:textId="77777777" w:rsidR="00D52669" w:rsidRPr="00D52669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Polskiej Organizacji </w:t>
      </w:r>
      <w:r w:rsidR="00D52669" w:rsidRPr="00D52669">
        <w:rPr>
          <w:b/>
          <w:smallCaps/>
          <w:sz w:val="52"/>
          <w:szCs w:val="52"/>
        </w:rPr>
        <w:t>Turystycznej</w:t>
      </w:r>
    </w:p>
    <w:p w14:paraId="57676B2E" w14:textId="0BF7AABC" w:rsidR="00D52669" w:rsidRPr="00D52669" w:rsidRDefault="00D52669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 xml:space="preserve">w </w:t>
      </w:r>
      <w:r w:rsidR="003E6B11">
        <w:rPr>
          <w:b/>
          <w:smallCaps/>
          <w:sz w:val="52"/>
          <w:szCs w:val="52"/>
        </w:rPr>
        <w:t>Budapeszcie</w:t>
      </w:r>
    </w:p>
    <w:p w14:paraId="3587AB1D" w14:textId="77777777" w:rsidR="00054887" w:rsidRPr="00D52669" w:rsidRDefault="0067182E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>sprawozdanie</w:t>
      </w:r>
    </w:p>
    <w:p w14:paraId="30BC447D" w14:textId="6C1A152D" w:rsidR="00054887" w:rsidRPr="00D52669" w:rsidRDefault="000F3165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rok </w:t>
      </w:r>
      <w:r w:rsidR="004E22A0">
        <w:rPr>
          <w:b/>
          <w:smallCaps/>
          <w:sz w:val="52"/>
          <w:szCs w:val="52"/>
        </w:rPr>
        <w:t>202</w:t>
      </w:r>
      <w:r w:rsidR="00400DF2">
        <w:rPr>
          <w:b/>
          <w:smallCaps/>
          <w:sz w:val="52"/>
          <w:szCs w:val="52"/>
        </w:rPr>
        <w:t>4</w:t>
      </w:r>
    </w:p>
    <w:p w14:paraId="419C37CB" w14:textId="77777777" w:rsidR="00054887" w:rsidRPr="00D52669" w:rsidRDefault="00054887" w:rsidP="00054887">
      <w:pPr>
        <w:spacing w:after="0" w:line="240" w:lineRule="auto"/>
        <w:jc w:val="center"/>
        <w:rPr>
          <w:b/>
          <w:sz w:val="28"/>
          <w:szCs w:val="28"/>
        </w:rPr>
      </w:pPr>
    </w:p>
    <w:p w14:paraId="21152C0F" w14:textId="77777777" w:rsidR="00054887" w:rsidRPr="00D52669" w:rsidRDefault="00054887" w:rsidP="00054887">
      <w:pPr>
        <w:tabs>
          <w:tab w:val="left" w:pos="3750"/>
        </w:tabs>
        <w:spacing w:after="0" w:line="240" w:lineRule="auto"/>
      </w:pPr>
    </w:p>
    <w:p w14:paraId="4447EF99" w14:textId="77777777" w:rsidR="00A63271" w:rsidRPr="00D52669" w:rsidRDefault="004E0D59">
      <w:pPr>
        <w:spacing w:after="0" w:line="240" w:lineRule="auto"/>
      </w:pPr>
      <w:r w:rsidRPr="00D52669">
        <w:br w:type="page"/>
      </w:r>
    </w:p>
    <w:p w14:paraId="16BFAA9C" w14:textId="2474FF3C" w:rsidR="00A63271" w:rsidRDefault="00A63271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782EA2">
        <w:rPr>
          <w:rFonts w:asciiTheme="majorHAnsi" w:hAnsiTheme="majorHAnsi"/>
          <w:b/>
          <w:sz w:val="28"/>
          <w:szCs w:val="28"/>
        </w:rPr>
        <w:lastRenderedPageBreak/>
        <w:t>Spis treści</w:t>
      </w:r>
    </w:p>
    <w:p w14:paraId="04D69D28" w14:textId="77777777" w:rsidR="00400DF2" w:rsidRPr="00782EA2" w:rsidRDefault="00400DF2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094D6433" w14:textId="7B804CF4" w:rsidR="00A63271" w:rsidRDefault="00400DF2" w:rsidP="00400DF2">
      <w:pPr>
        <w:pStyle w:val="Akapitzlist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Sytuacja na rynku turystycznym objętym działaniem ZOPOT…………………………</w:t>
      </w:r>
      <w:r w:rsidR="00BA0C76">
        <w:rPr>
          <w:rFonts w:asciiTheme="majorHAnsi" w:hAnsiTheme="majorHAnsi"/>
          <w:sz w:val="24"/>
          <w:szCs w:val="24"/>
        </w:rPr>
        <w:t>str.3.</w:t>
      </w:r>
    </w:p>
    <w:p w14:paraId="5A0D2B25" w14:textId="53586BFF" w:rsidR="00400DF2" w:rsidRDefault="00400DF2" w:rsidP="00400DF2">
      <w:pPr>
        <w:pStyle w:val="Akapitzlist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Przyjazdy do Polski</w:t>
      </w:r>
      <w:r w:rsidR="00283747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  <w:r w:rsidR="00BA0C76">
        <w:rPr>
          <w:rFonts w:asciiTheme="majorHAnsi" w:hAnsiTheme="majorHAnsi"/>
          <w:sz w:val="24"/>
          <w:szCs w:val="24"/>
        </w:rPr>
        <w:t>….str.4.</w:t>
      </w:r>
    </w:p>
    <w:p w14:paraId="23E33635" w14:textId="71278303" w:rsidR="00400DF2" w:rsidRDefault="00400DF2" w:rsidP="00400DF2">
      <w:pPr>
        <w:pStyle w:val="Akapitzlist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Połączenia</w:t>
      </w:r>
      <w:r w:rsidR="00283747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</w:t>
      </w:r>
      <w:r w:rsidR="00BA0C76">
        <w:rPr>
          <w:rFonts w:asciiTheme="majorHAnsi" w:hAnsiTheme="majorHAnsi"/>
          <w:sz w:val="24"/>
          <w:szCs w:val="24"/>
        </w:rPr>
        <w:t>str.</w:t>
      </w:r>
      <w:r w:rsidR="00155C41">
        <w:rPr>
          <w:rFonts w:asciiTheme="majorHAnsi" w:hAnsiTheme="majorHAnsi"/>
          <w:sz w:val="24"/>
          <w:szCs w:val="24"/>
        </w:rPr>
        <w:t>6</w:t>
      </w:r>
      <w:r w:rsidR="00BA0C76">
        <w:rPr>
          <w:rFonts w:asciiTheme="majorHAnsi" w:hAnsiTheme="majorHAnsi"/>
          <w:sz w:val="24"/>
          <w:szCs w:val="24"/>
        </w:rPr>
        <w:t>.</w:t>
      </w:r>
    </w:p>
    <w:p w14:paraId="6E590845" w14:textId="4FCFC077" w:rsidR="00283747" w:rsidRDefault="00283747" w:rsidP="00400DF2">
      <w:pPr>
        <w:pStyle w:val="Akapitzlist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Mierniki działań promocyjnych……………………………………………………………………</w:t>
      </w:r>
      <w:r w:rsidR="00BA0C76">
        <w:rPr>
          <w:rFonts w:asciiTheme="majorHAnsi" w:hAnsiTheme="majorHAnsi"/>
          <w:sz w:val="24"/>
          <w:szCs w:val="24"/>
        </w:rPr>
        <w:t>..str.</w:t>
      </w:r>
      <w:r w:rsidR="00155C41">
        <w:rPr>
          <w:rFonts w:asciiTheme="majorHAnsi" w:hAnsiTheme="majorHAnsi"/>
          <w:sz w:val="24"/>
          <w:szCs w:val="24"/>
        </w:rPr>
        <w:t>8</w:t>
      </w:r>
      <w:r w:rsidR="00BA0C76">
        <w:rPr>
          <w:rFonts w:asciiTheme="majorHAnsi" w:hAnsiTheme="majorHAnsi"/>
          <w:sz w:val="24"/>
          <w:szCs w:val="24"/>
        </w:rPr>
        <w:t>.</w:t>
      </w:r>
    </w:p>
    <w:p w14:paraId="55D0651C" w14:textId="09734DEE" w:rsidR="00283747" w:rsidRDefault="00283747" w:rsidP="00400DF2">
      <w:pPr>
        <w:pStyle w:val="Akapitzlist"/>
        <w:numPr>
          <w:ilvl w:val="0"/>
          <w:numId w:val="1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Załączniki……………………………………………………………………………………………………</w:t>
      </w:r>
      <w:r w:rsidR="00155C41">
        <w:rPr>
          <w:rFonts w:asciiTheme="majorHAnsi" w:hAnsiTheme="majorHAnsi"/>
          <w:sz w:val="24"/>
          <w:szCs w:val="24"/>
        </w:rPr>
        <w:t>.</w:t>
      </w:r>
      <w:r w:rsidR="00155C41" w:rsidRPr="00155C41">
        <w:t xml:space="preserve"> </w:t>
      </w:r>
      <w:r w:rsidR="00155C41" w:rsidRPr="00155C41">
        <w:rPr>
          <w:rFonts w:asciiTheme="majorHAnsi" w:hAnsiTheme="majorHAnsi"/>
          <w:sz w:val="24"/>
          <w:szCs w:val="24"/>
        </w:rPr>
        <w:t>str.</w:t>
      </w:r>
      <w:r w:rsidR="00155C41">
        <w:rPr>
          <w:rFonts w:asciiTheme="majorHAnsi" w:hAnsiTheme="majorHAnsi"/>
          <w:sz w:val="24"/>
          <w:szCs w:val="24"/>
        </w:rPr>
        <w:t>9</w:t>
      </w:r>
      <w:r w:rsidR="00155C41" w:rsidRPr="00155C41">
        <w:rPr>
          <w:rFonts w:asciiTheme="majorHAnsi" w:hAnsiTheme="majorHAnsi"/>
          <w:sz w:val="24"/>
          <w:szCs w:val="24"/>
        </w:rPr>
        <w:t>.</w:t>
      </w:r>
    </w:p>
    <w:p w14:paraId="36D9A252" w14:textId="77777777" w:rsidR="004E22A0" w:rsidRDefault="004E22A0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1E2D2DE9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2E6030F5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4F225A6B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007779AD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1F40A91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18BC4554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F42F37C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C2B10E5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09658E7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20B72E6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6C70E70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216BB46B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05264278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2DD91AA3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FB3AD14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B437746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4328C91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4609B441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353B053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50FCD061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512400B1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093BB02B" w14:textId="77777777" w:rsidR="00590897" w:rsidRPr="00283747" w:rsidRDefault="00590897" w:rsidP="007A40F1">
      <w:pPr>
        <w:spacing w:after="160" w:line="259" w:lineRule="auto"/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24"/>
        </w:rPr>
      </w:pPr>
    </w:p>
    <w:p w14:paraId="5634FB01" w14:textId="0357BDF2" w:rsidR="00515240" w:rsidRPr="00283747" w:rsidRDefault="00400DF2" w:rsidP="00685D34">
      <w:pPr>
        <w:pStyle w:val="BZ-rozdzia"/>
        <w:rPr>
          <w:sz w:val="24"/>
          <w:szCs w:val="24"/>
        </w:rPr>
      </w:pPr>
      <w:bookmarkStart w:id="0" w:name="_Toc61350017"/>
      <w:r w:rsidRPr="00283747">
        <w:rPr>
          <w:sz w:val="24"/>
          <w:szCs w:val="24"/>
        </w:rPr>
        <w:lastRenderedPageBreak/>
        <w:t>1</w:t>
      </w:r>
      <w:r w:rsidRPr="00685D34">
        <w:t>.</w:t>
      </w:r>
      <w:r w:rsidR="00515240" w:rsidRPr="00685D34">
        <w:t xml:space="preserve"> </w:t>
      </w:r>
      <w:r w:rsidR="004E22A0" w:rsidRPr="00685D34">
        <w:t>Sytuacja na rynku turystycznym</w:t>
      </w:r>
      <w:bookmarkEnd w:id="0"/>
      <w:r w:rsidRPr="00685D34">
        <w:t xml:space="preserve"> objętym działaniem ZOPOT</w:t>
      </w:r>
    </w:p>
    <w:p w14:paraId="43505175" w14:textId="77777777" w:rsidR="00CE66C0" w:rsidRDefault="00CE66C0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6F8C420" w14:textId="77777777" w:rsidR="003E6B11" w:rsidRPr="003E6B11" w:rsidRDefault="003E6B11" w:rsidP="003E6B11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Podróże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zagraniczne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Węgrów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w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latach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2022–2024</w:t>
      </w:r>
    </w:p>
    <w:p w14:paraId="388A3DAD" w14:textId="77777777" w:rsidR="003E6B11" w:rsidRPr="003E6B11" w:rsidRDefault="003E6B11" w:rsidP="003E6B11">
      <w:p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6088CF0C" w14:textId="0B200604" w:rsidR="003E6B11" w:rsidRPr="003E6B11" w:rsidRDefault="003E6B11" w:rsidP="003E6B11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Rok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2022 –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Początek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odbudowy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po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pandemii</w:t>
      </w:r>
      <w:proofErr w:type="spellEnd"/>
    </w:p>
    <w:p w14:paraId="7B7BEDE0" w14:textId="77777777" w:rsidR="003E6B11" w:rsidRPr="003E6B11" w:rsidRDefault="003E6B11" w:rsidP="003E6B11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Liczba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Według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danych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KSH (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Węgierskiego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Urzędu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Statystycznego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),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Węgrzy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odbyli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w 2022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roku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18,1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miliona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zagranicznych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to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znaczący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wzrost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w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porównaniu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z 2021 rokiem.</w:t>
      </w:r>
    </w:p>
    <w:p w14:paraId="5C61A781" w14:textId="251ED912" w:rsidR="003E6B11" w:rsidRPr="003E6B11" w:rsidRDefault="003E6B11" w:rsidP="003E6B11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Najpopularniejsze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kraje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Austria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Chorwacja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Niemcy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Rumunia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Słowacja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7897C98E" w14:textId="699BDEAF" w:rsidR="003E6B11" w:rsidRDefault="003E6B11" w:rsidP="003E6B11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Wydatki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Węgrzy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wydali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łącznie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ok. 1080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miliardów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forintów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na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zagraniczne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67AF6EED" w14:textId="77777777" w:rsidR="003E6B11" w:rsidRPr="003E6B11" w:rsidRDefault="003E6B11" w:rsidP="003E6B11">
      <w:pPr>
        <w:spacing w:after="0"/>
        <w:ind w:left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14:paraId="721C582D" w14:textId="4E178E6D" w:rsidR="003E6B11" w:rsidRPr="003E6B11" w:rsidRDefault="003E6B11" w:rsidP="003E6B11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Rok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2023 –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Rekordowy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wzrost</w:t>
      </w:r>
      <w:proofErr w:type="spellEnd"/>
    </w:p>
    <w:p w14:paraId="446F9F79" w14:textId="77777777" w:rsidR="003E6B11" w:rsidRPr="003E6B11" w:rsidRDefault="003E6B11" w:rsidP="003E6B1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Liczba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W 2023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roku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odbyto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21,1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miliona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zagranicznych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(+17%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względem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2022).</w:t>
      </w:r>
    </w:p>
    <w:p w14:paraId="0945B8CE" w14:textId="77777777" w:rsidR="003E6B11" w:rsidRPr="003E6B11" w:rsidRDefault="003E6B11" w:rsidP="003E6B1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Najpopularniejsze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kraje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Austria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Niemcy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Chorwacja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Grecja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Rumunia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52CF7420" w14:textId="77777777" w:rsidR="003E6B11" w:rsidRPr="003E6B11" w:rsidRDefault="003E6B11" w:rsidP="003E6B1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Wydatki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Wydatki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osiągnęły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1585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miliardów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forintów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wzrost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o 47%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rok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do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roku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7BA6DFCA" w14:textId="77777777" w:rsidR="003E6B11" w:rsidRPr="003E6B11" w:rsidRDefault="00346567" w:rsidP="003E6B11">
      <w:p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noProof/>
          <w:sz w:val="24"/>
          <w:szCs w:val="24"/>
          <w:lang w:val="hu-HU"/>
        </w:rPr>
        <w:pict w14:anchorId="0BB9A92E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4BE4455D" w14:textId="739B221A" w:rsidR="003E6B11" w:rsidRPr="003E6B11" w:rsidRDefault="003E6B11" w:rsidP="003E6B11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Rok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2024 –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Stabilny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wzrost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nowe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trendy</w:t>
      </w:r>
      <w:proofErr w:type="spellEnd"/>
    </w:p>
    <w:p w14:paraId="0F45D9BA" w14:textId="77777777" w:rsidR="003E6B11" w:rsidRPr="003E6B11" w:rsidRDefault="003E6B11" w:rsidP="003E6B11">
      <w:pPr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Liczba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Szacunkowo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22,3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miliona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zagranicznych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kontynuacja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trendu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wzrostowego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05BE7F5A" w14:textId="77777777" w:rsidR="003E6B11" w:rsidRPr="003E6B11" w:rsidRDefault="003E6B11" w:rsidP="003E6B11">
      <w:pPr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Najpopularniejsze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kraje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Nadal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Austria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Niemcy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Chorwacja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ale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wzrosło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zainteresowanie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Hiszpanią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Portugalią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78285DCF" w14:textId="77777777" w:rsidR="003E6B11" w:rsidRPr="003E6B11" w:rsidRDefault="003E6B11" w:rsidP="003E6B11">
      <w:pPr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Wydatki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Około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1700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miliardów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forintów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wydanych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za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granicą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3FA3BE4B" w14:textId="77777777" w:rsidR="003E6B11" w:rsidRPr="003E6B11" w:rsidRDefault="00346567" w:rsidP="003E6B11">
      <w:p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noProof/>
          <w:sz w:val="24"/>
          <w:szCs w:val="24"/>
          <w:lang w:val="hu-HU"/>
        </w:rPr>
        <w:pict w14:anchorId="6C9C03B4"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14:paraId="07C812E6" w14:textId="1B96676B" w:rsidR="003E6B11" w:rsidRPr="003E6B11" w:rsidRDefault="003E6B11" w:rsidP="003E6B11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Zmiany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trendy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w </w:t>
      </w:r>
      <w:proofErr w:type="spellStart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>latach</w:t>
      </w:r>
      <w:proofErr w:type="spellEnd"/>
      <w:r w:rsidRPr="003E6B11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2022–2024</w:t>
      </w:r>
    </w:p>
    <w:p w14:paraId="2189B841" w14:textId="77777777" w:rsidR="003E6B11" w:rsidRPr="003E6B11" w:rsidRDefault="003E6B11" w:rsidP="003E6B11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Rośnie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chęć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podróżowania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Liczba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rosła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z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roku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na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rok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to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efekt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odbudowy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pandemii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wzrostu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chęci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podróżowania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3B6E6005" w14:textId="77777777" w:rsidR="003E6B11" w:rsidRPr="003E6B11" w:rsidRDefault="003E6B11" w:rsidP="003E6B11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Wyższe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wydatki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Wzrost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cen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inflacja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przyczyniły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się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do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większych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wydatków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podczas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wyjazdów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14666175" w14:textId="77777777" w:rsidR="003E6B11" w:rsidRPr="003E6B11" w:rsidRDefault="003E6B11" w:rsidP="003E6B11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Nowe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kierunki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Choć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Austria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Niemcy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pozostają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liderami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rośnie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popularność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krajów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śródziemnomorskich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36B57D7A" w14:textId="77777777" w:rsidR="003E6B11" w:rsidRPr="003E6B11" w:rsidRDefault="003E6B11" w:rsidP="003E6B11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Dłuższe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wyjazdy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Węgrzy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coraz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częściej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wybierają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dłuższe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,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kilkudniowe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4"/>
          <w:szCs w:val="24"/>
          <w:lang w:val="hu-HU"/>
        </w:rPr>
        <w:t>wyjazdy</w:t>
      </w:r>
      <w:proofErr w:type="spellEnd"/>
      <w:r w:rsidRPr="003E6B11">
        <w:rPr>
          <w:rFonts w:asciiTheme="minorHAnsi" w:hAnsiTheme="minorHAnsi" w:cstheme="minorHAnsi"/>
          <w:sz w:val="24"/>
          <w:szCs w:val="24"/>
          <w:lang w:val="hu-HU"/>
        </w:rPr>
        <w:t>.</w:t>
      </w:r>
    </w:p>
    <w:p w14:paraId="6B9B7F18" w14:textId="77777777" w:rsidR="003E6B11" w:rsidRPr="003E6B11" w:rsidRDefault="00346567" w:rsidP="003E6B11">
      <w:pPr>
        <w:spacing w:after="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noProof/>
          <w:sz w:val="24"/>
          <w:szCs w:val="24"/>
          <w:lang w:val="hu-HU"/>
        </w:rPr>
        <w:pict w14:anchorId="384700DC">
          <v:rect id="_x0000_i1027" alt="" style="width:453.6pt;height:.05pt;mso-width-percent:0;mso-height-percent:0;mso-width-percent:0;mso-height-percent:0" o:hralign="center" o:hrstd="t" o:hrnoshade="t" o:hr="t" fillcolor="black" stroked="f"/>
        </w:pict>
      </w:r>
    </w:p>
    <w:p w14:paraId="5B461038" w14:textId="77777777" w:rsidR="003E6B11" w:rsidRDefault="003E6B11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6AD79E5" w14:textId="77777777" w:rsidR="00685D34" w:rsidRPr="00283747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00DF2" w:rsidRPr="00283747" w14:paraId="4B42CBA0" w14:textId="77777777" w:rsidTr="00400DF2">
        <w:tc>
          <w:tcPr>
            <w:tcW w:w="3397" w:type="dxa"/>
            <w:shd w:val="clear" w:color="auto" w:fill="B8CCE4" w:themeFill="accent1" w:themeFillTint="66"/>
          </w:tcPr>
          <w:p w14:paraId="5D499451" w14:textId="77777777" w:rsidR="00400DF2" w:rsidRPr="00283747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6ACBE275" w14:textId="77777777" w:rsidR="00400DF2" w:rsidRPr="00283747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ABB8616" w14:textId="77777777" w:rsidR="00400DF2" w:rsidRPr="00283747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7713BCE6" w14:textId="77777777" w:rsidR="00400DF2" w:rsidRPr="00283747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400DF2" w:rsidRPr="00283747" w14:paraId="13BB18C9" w14:textId="77777777" w:rsidTr="00400DF2">
        <w:tc>
          <w:tcPr>
            <w:tcW w:w="3397" w:type="dxa"/>
          </w:tcPr>
          <w:p w14:paraId="5C8A8D91" w14:textId="2F5813C0" w:rsidR="00400DF2" w:rsidRPr="00283747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Uczestnictwo w wyjazdach turystycznych ogółem (w %) </w:t>
            </w:r>
          </w:p>
        </w:tc>
        <w:tc>
          <w:tcPr>
            <w:tcW w:w="1843" w:type="dxa"/>
          </w:tcPr>
          <w:p w14:paraId="1448A4EF" w14:textId="77777777" w:rsidR="00400DF2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47,9 %</w:t>
            </w:r>
          </w:p>
          <w:p w14:paraId="4A65E8B7" w14:textId="78355351" w:rsidR="003E6B11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(9629 tys.)</w:t>
            </w:r>
          </w:p>
        </w:tc>
        <w:tc>
          <w:tcPr>
            <w:tcW w:w="1843" w:type="dxa"/>
          </w:tcPr>
          <w:p w14:paraId="5C220E49" w14:textId="77777777" w:rsidR="00400DF2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49,8%</w:t>
            </w:r>
          </w:p>
          <w:p w14:paraId="429D83AE" w14:textId="56A8525D" w:rsidR="003E6B11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(9558 tys.)</w:t>
            </w:r>
          </w:p>
        </w:tc>
        <w:tc>
          <w:tcPr>
            <w:tcW w:w="1979" w:type="dxa"/>
          </w:tcPr>
          <w:p w14:paraId="6C0EBFC9" w14:textId="77777777" w:rsidR="00400DF2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49,3%</w:t>
            </w:r>
          </w:p>
          <w:p w14:paraId="2FD183D4" w14:textId="5CD489B7" w:rsidR="003E6B11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(9536 tys.)</w:t>
            </w:r>
          </w:p>
        </w:tc>
      </w:tr>
      <w:tr w:rsidR="00400DF2" w:rsidRPr="00283747" w14:paraId="18163D0E" w14:textId="77777777" w:rsidTr="00400DF2">
        <w:tc>
          <w:tcPr>
            <w:tcW w:w="3397" w:type="dxa"/>
          </w:tcPr>
          <w:p w14:paraId="0BB2966A" w14:textId="7CA84B78" w:rsidR="00400DF2" w:rsidRPr="00283747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Uczestnictwo w zagranicznych wyjazdach turystycznych</w:t>
            </w:r>
          </w:p>
        </w:tc>
        <w:tc>
          <w:tcPr>
            <w:tcW w:w="1843" w:type="dxa"/>
          </w:tcPr>
          <w:p w14:paraId="5D41073F" w14:textId="00EA7487" w:rsidR="00400DF2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18013 tys.</w:t>
            </w:r>
          </w:p>
        </w:tc>
        <w:tc>
          <w:tcPr>
            <w:tcW w:w="1843" w:type="dxa"/>
          </w:tcPr>
          <w:p w14:paraId="22BFD235" w14:textId="660C7955" w:rsidR="00400DF2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21051 tys.</w:t>
            </w:r>
          </w:p>
        </w:tc>
        <w:tc>
          <w:tcPr>
            <w:tcW w:w="1979" w:type="dxa"/>
          </w:tcPr>
          <w:p w14:paraId="33EFF852" w14:textId="2ED82518" w:rsidR="00400DF2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22015 tys.</w:t>
            </w:r>
          </w:p>
        </w:tc>
      </w:tr>
      <w:tr w:rsidR="00400DF2" w:rsidRPr="00283747" w14:paraId="45C33C26" w14:textId="77777777" w:rsidTr="00400DF2">
        <w:tc>
          <w:tcPr>
            <w:tcW w:w="3397" w:type="dxa"/>
          </w:tcPr>
          <w:p w14:paraId="2830FEB4" w14:textId="7F933A3E" w:rsidR="00400DF2" w:rsidRPr="00283747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Liczba wyjazdów zagranicznych z co najmniej jednym noclegiem </w:t>
            </w:r>
          </w:p>
        </w:tc>
        <w:tc>
          <w:tcPr>
            <w:tcW w:w="1843" w:type="dxa"/>
          </w:tcPr>
          <w:p w14:paraId="7AA81734" w14:textId="29CECBE9" w:rsidR="00400DF2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 tego typu danych</w:t>
            </w:r>
          </w:p>
        </w:tc>
        <w:tc>
          <w:tcPr>
            <w:tcW w:w="1843" w:type="dxa"/>
          </w:tcPr>
          <w:p w14:paraId="1D8F219A" w14:textId="0AA80E3D" w:rsidR="00400DF2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 tego typu danych</w:t>
            </w:r>
          </w:p>
        </w:tc>
        <w:tc>
          <w:tcPr>
            <w:tcW w:w="1979" w:type="dxa"/>
          </w:tcPr>
          <w:p w14:paraId="1708C03A" w14:textId="5A0F1021" w:rsidR="00400DF2" w:rsidRPr="00283747" w:rsidRDefault="003E6B11" w:rsidP="003E6B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 tego typu danych</w:t>
            </w:r>
          </w:p>
        </w:tc>
      </w:tr>
    </w:tbl>
    <w:p w14:paraId="5E55D667" w14:textId="77777777" w:rsidR="00400DF2" w:rsidRPr="00283747" w:rsidRDefault="00400DF2" w:rsidP="00DA055D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629F2" w14:textId="539CB11B" w:rsidR="00400DF2" w:rsidRPr="00283747" w:rsidRDefault="00400DF2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83747">
        <w:rPr>
          <w:rFonts w:asciiTheme="minorHAnsi" w:hAnsiTheme="minorHAnsi" w:cstheme="minorHAnsi"/>
          <w:b/>
          <w:bCs/>
          <w:sz w:val="24"/>
          <w:szCs w:val="24"/>
        </w:rPr>
        <w:t>Lista 5-10 najczęściej odwiedzanych krajów</w:t>
      </w:r>
      <w:r w:rsidR="00590897" w:rsidRPr="002837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374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590897" w:rsidRPr="00283747">
        <w:rPr>
          <w:rFonts w:asciiTheme="minorHAnsi" w:hAnsiTheme="minorHAnsi" w:cstheme="minorHAnsi"/>
          <w:b/>
          <w:bCs/>
          <w:sz w:val="24"/>
          <w:szCs w:val="24"/>
        </w:rPr>
        <w:t xml:space="preserve"> 2024 r</w:t>
      </w:r>
      <w:r w:rsidR="00590897" w:rsidRPr="00283747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835"/>
      </w:tblGrid>
      <w:tr w:rsidR="00400DF2" w:rsidRPr="00283747" w14:paraId="5A2B3D16" w14:textId="77777777" w:rsidTr="00685D34">
        <w:trPr>
          <w:trHeight w:val="338"/>
        </w:trPr>
        <w:tc>
          <w:tcPr>
            <w:tcW w:w="562" w:type="dxa"/>
            <w:shd w:val="clear" w:color="auto" w:fill="B8CCE4" w:themeFill="accent1" w:themeFillTint="66"/>
          </w:tcPr>
          <w:p w14:paraId="59115356" w14:textId="1DE227C8" w:rsidR="00400DF2" w:rsidRPr="00283747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L/p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14:paraId="797D0B3A" w14:textId="72EF154E" w:rsidR="00400DF2" w:rsidRPr="00283747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4D24A0D6" w14:textId="5F1EB3AC" w:rsidR="00400DF2" w:rsidRPr="00283747" w:rsidRDefault="00685D34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00DF2" w:rsidRPr="00283747">
              <w:rPr>
                <w:rFonts w:asciiTheme="minorHAnsi" w:hAnsiTheme="minorHAnsi" w:cstheme="minorHAnsi"/>
                <w:sz w:val="24"/>
                <w:szCs w:val="24"/>
              </w:rPr>
              <w:t>iczb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00DF2"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wyjazdów</w:t>
            </w:r>
          </w:p>
        </w:tc>
      </w:tr>
      <w:tr w:rsidR="00400DF2" w:rsidRPr="00283747" w14:paraId="597D7304" w14:textId="77777777" w:rsidTr="00685D34">
        <w:tc>
          <w:tcPr>
            <w:tcW w:w="562" w:type="dxa"/>
          </w:tcPr>
          <w:p w14:paraId="6C334178" w14:textId="57368417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47D36409" w14:textId="26A2BC1F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2835" w:type="dxa"/>
          </w:tcPr>
          <w:p w14:paraId="13B18E74" w14:textId="7C04978A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7010 tys.</w:t>
            </w:r>
          </w:p>
        </w:tc>
      </w:tr>
      <w:tr w:rsidR="00400DF2" w:rsidRPr="00283747" w14:paraId="583E03F5" w14:textId="77777777" w:rsidTr="00685D34">
        <w:tc>
          <w:tcPr>
            <w:tcW w:w="562" w:type="dxa"/>
          </w:tcPr>
          <w:p w14:paraId="57E6E77F" w14:textId="022409BE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3CB252DF" w14:textId="345D4C82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Słowacja</w:t>
            </w:r>
          </w:p>
        </w:tc>
        <w:tc>
          <w:tcPr>
            <w:tcW w:w="2835" w:type="dxa"/>
          </w:tcPr>
          <w:p w14:paraId="2021F680" w14:textId="65AE2807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4419 tys.</w:t>
            </w:r>
          </w:p>
        </w:tc>
      </w:tr>
      <w:tr w:rsidR="00400DF2" w:rsidRPr="00283747" w14:paraId="01D84F3C" w14:textId="77777777" w:rsidTr="00685D34">
        <w:tc>
          <w:tcPr>
            <w:tcW w:w="562" w:type="dxa"/>
          </w:tcPr>
          <w:p w14:paraId="0614CF3B" w14:textId="01D7A4B9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5E2AB9C0" w14:textId="49EFDF5F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Rumunia</w:t>
            </w:r>
          </w:p>
        </w:tc>
        <w:tc>
          <w:tcPr>
            <w:tcW w:w="2835" w:type="dxa"/>
          </w:tcPr>
          <w:p w14:paraId="2824DC3C" w14:textId="2C291B0E" w:rsidR="00400DF2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1397 tys.</w:t>
            </w:r>
          </w:p>
        </w:tc>
      </w:tr>
      <w:tr w:rsidR="00685D34" w:rsidRPr="00283747" w14:paraId="73A883FD" w14:textId="77777777" w:rsidTr="00685D34">
        <w:tc>
          <w:tcPr>
            <w:tcW w:w="562" w:type="dxa"/>
          </w:tcPr>
          <w:p w14:paraId="472C4801" w14:textId="788D4A6A" w:rsidR="00685D34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08D33458" w14:textId="3ACD65D0" w:rsidR="00685D34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Niemcy</w:t>
            </w:r>
          </w:p>
        </w:tc>
        <w:tc>
          <w:tcPr>
            <w:tcW w:w="2835" w:type="dxa"/>
          </w:tcPr>
          <w:p w14:paraId="298BCF9D" w14:textId="2234E7DB" w:rsidR="00685D34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992 tys.</w:t>
            </w:r>
          </w:p>
        </w:tc>
      </w:tr>
      <w:tr w:rsidR="00685D34" w:rsidRPr="00283747" w14:paraId="0916CB32" w14:textId="77777777" w:rsidTr="00685D34">
        <w:tc>
          <w:tcPr>
            <w:tcW w:w="562" w:type="dxa"/>
          </w:tcPr>
          <w:p w14:paraId="2BCEA247" w14:textId="79B2D699" w:rsidR="00685D34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345370" w14:textId="4E1714AC" w:rsidR="00685D34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Chorwacja</w:t>
            </w:r>
          </w:p>
        </w:tc>
        <w:tc>
          <w:tcPr>
            <w:tcW w:w="2835" w:type="dxa"/>
          </w:tcPr>
          <w:p w14:paraId="3F71BAC4" w14:textId="7ACC3BB8" w:rsidR="00685D34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922 tys.</w:t>
            </w:r>
          </w:p>
        </w:tc>
      </w:tr>
      <w:tr w:rsidR="00B8076C" w:rsidRPr="00283747" w14:paraId="2D80DC03" w14:textId="77777777" w:rsidTr="00685D34">
        <w:tc>
          <w:tcPr>
            <w:tcW w:w="562" w:type="dxa"/>
          </w:tcPr>
          <w:p w14:paraId="7BABC7D6" w14:textId="69A7224B" w:rsidR="00B8076C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081E463F" w14:textId="5A108D39" w:rsidR="00B8076C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Serbia</w:t>
            </w:r>
          </w:p>
        </w:tc>
        <w:tc>
          <w:tcPr>
            <w:tcW w:w="2835" w:type="dxa"/>
          </w:tcPr>
          <w:p w14:paraId="0C7988C6" w14:textId="0FB5F5E5" w:rsidR="00B8076C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897 tys.</w:t>
            </w:r>
          </w:p>
        </w:tc>
      </w:tr>
      <w:tr w:rsidR="00B8076C" w:rsidRPr="00283747" w14:paraId="50E062CA" w14:textId="77777777" w:rsidTr="00685D34">
        <w:tc>
          <w:tcPr>
            <w:tcW w:w="562" w:type="dxa"/>
          </w:tcPr>
          <w:p w14:paraId="16794D15" w14:textId="221F57B5" w:rsidR="00B8076C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468ECF8F" w14:textId="15D7B4F3" w:rsidR="00B8076C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Słowenia</w:t>
            </w:r>
          </w:p>
        </w:tc>
        <w:tc>
          <w:tcPr>
            <w:tcW w:w="2835" w:type="dxa"/>
          </w:tcPr>
          <w:p w14:paraId="6FBD6BE0" w14:textId="6F170742" w:rsidR="00B8076C" w:rsidRPr="00283747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714 tys.</w:t>
            </w:r>
          </w:p>
        </w:tc>
      </w:tr>
      <w:tr w:rsidR="003E6B11" w:rsidRPr="00283747" w14:paraId="164AB6EF" w14:textId="77777777" w:rsidTr="00685D34">
        <w:tc>
          <w:tcPr>
            <w:tcW w:w="562" w:type="dxa"/>
          </w:tcPr>
          <w:p w14:paraId="18C5D802" w14:textId="27C72AF2" w:rsidR="003E6B11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78FC9173" w14:textId="2DB18AA7" w:rsidR="003E6B11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Polska</w:t>
            </w:r>
          </w:p>
        </w:tc>
        <w:tc>
          <w:tcPr>
            <w:tcW w:w="2835" w:type="dxa"/>
          </w:tcPr>
          <w:p w14:paraId="0C64E8FC" w14:textId="73E489B9" w:rsidR="003E6B11" w:rsidRDefault="003E6B11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240 tys.</w:t>
            </w:r>
          </w:p>
        </w:tc>
      </w:tr>
    </w:tbl>
    <w:p w14:paraId="5B8629F5" w14:textId="5DE44D32" w:rsidR="00400DF2" w:rsidRPr="003E6B11" w:rsidRDefault="00400DF2" w:rsidP="00400DF2">
      <w:pPr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3E6B1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Źródła danych: raporty z badań z </w:t>
      </w:r>
      <w:r w:rsidR="003E6B11" w:rsidRPr="003E6B1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KSH – czyli Węgierski GUS</w:t>
      </w:r>
    </w:p>
    <w:p w14:paraId="408B96F5" w14:textId="77777777" w:rsidR="00685D34" w:rsidRPr="00283747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B51C8BF" w14:textId="75DE7CA6" w:rsidR="00383D23" w:rsidRPr="00685D34" w:rsidRDefault="00590897" w:rsidP="00685D34">
      <w:pPr>
        <w:pStyle w:val="BZ-rozdzia"/>
      </w:pPr>
      <w:bookmarkStart w:id="1" w:name="_Toc61350018"/>
      <w:r w:rsidRPr="00685D34">
        <w:t>2</w:t>
      </w:r>
      <w:r w:rsidR="00BB635C" w:rsidRPr="00685D34">
        <w:t xml:space="preserve">. </w:t>
      </w:r>
      <w:r w:rsidR="00D52669" w:rsidRPr="00685D34">
        <w:t>Przyjazdy do Polski</w:t>
      </w:r>
      <w:bookmarkEnd w:id="1"/>
    </w:p>
    <w:p w14:paraId="1197EABE" w14:textId="4E336C50" w:rsidR="00BE5831" w:rsidRPr="00283747" w:rsidRDefault="00BE5831" w:rsidP="00BE5831">
      <w:pPr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24"/>
        </w:rPr>
      </w:pPr>
      <w:bookmarkStart w:id="2" w:name="OLE_LINK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E4618D" w:rsidRPr="00283747" w14:paraId="3E0B6C34" w14:textId="77777777" w:rsidTr="00B8076C">
        <w:tc>
          <w:tcPr>
            <w:tcW w:w="3964" w:type="dxa"/>
            <w:shd w:val="clear" w:color="auto" w:fill="B8CCE4" w:themeFill="accent1" w:themeFillTint="66"/>
          </w:tcPr>
          <w:p w14:paraId="0C153638" w14:textId="77777777" w:rsidR="00BE5831" w:rsidRPr="00283747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24CDC8DA" w14:textId="0784FC3E" w:rsidR="00BE5831" w:rsidRPr="00283747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079E5" w:rsidRPr="002837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2837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59F2A1E" w14:textId="4E6ABCB9" w:rsidR="00BE5831" w:rsidRPr="00283747" w:rsidRDefault="00BE5831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9683F" w:rsidRPr="002837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2837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461F68FC" w14:textId="2422FF69" w:rsidR="00BE5831" w:rsidRPr="00283747" w:rsidRDefault="00E23D00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90897" w:rsidRPr="002837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E4618D" w:rsidRPr="00283747" w14:paraId="75014E24" w14:textId="77777777" w:rsidTr="00B8076C">
        <w:trPr>
          <w:trHeight w:val="304"/>
        </w:trPr>
        <w:tc>
          <w:tcPr>
            <w:tcW w:w="3964" w:type="dxa"/>
          </w:tcPr>
          <w:p w14:paraId="5742ECDE" w14:textId="18B3A100" w:rsidR="00BE5831" w:rsidRPr="00283747" w:rsidRDefault="00BE5831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C23FC" w:rsidRPr="0028374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076C">
              <w:rPr>
                <w:rFonts w:asciiTheme="minorHAnsi" w:hAnsiTheme="minorHAnsi" w:cstheme="minorHAnsi"/>
                <w:sz w:val="24"/>
                <w:szCs w:val="24"/>
              </w:rPr>
              <w:t>przyjazdów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do Polski (w tys.)</w:t>
            </w:r>
          </w:p>
        </w:tc>
        <w:tc>
          <w:tcPr>
            <w:tcW w:w="1701" w:type="dxa"/>
          </w:tcPr>
          <w:p w14:paraId="3D85E2A8" w14:textId="70117336" w:rsidR="00BE5831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193,3</w:t>
            </w:r>
          </w:p>
        </w:tc>
        <w:tc>
          <w:tcPr>
            <w:tcW w:w="1701" w:type="dxa"/>
          </w:tcPr>
          <w:p w14:paraId="545510FC" w14:textId="6612B374" w:rsidR="00BE5831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228,6</w:t>
            </w:r>
          </w:p>
        </w:tc>
        <w:tc>
          <w:tcPr>
            <w:tcW w:w="1696" w:type="dxa"/>
          </w:tcPr>
          <w:p w14:paraId="5E797819" w14:textId="11602306" w:rsidR="00BE5831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247,1</w:t>
            </w:r>
          </w:p>
        </w:tc>
      </w:tr>
      <w:tr w:rsidR="00E4618D" w:rsidRPr="00283747" w14:paraId="07957D14" w14:textId="77777777" w:rsidTr="00B8076C">
        <w:trPr>
          <w:trHeight w:val="861"/>
        </w:trPr>
        <w:tc>
          <w:tcPr>
            <w:tcW w:w="3964" w:type="dxa"/>
          </w:tcPr>
          <w:p w14:paraId="4E1FACF8" w14:textId="1A7F4010" w:rsidR="00BE5831" w:rsidRPr="00283747" w:rsidRDefault="00BE5831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C23FC" w:rsidRPr="0028374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076C">
              <w:rPr>
                <w:rFonts w:asciiTheme="minorHAnsi" w:hAnsiTheme="minorHAnsi" w:cstheme="minorHAnsi"/>
                <w:sz w:val="24"/>
                <w:szCs w:val="24"/>
              </w:rPr>
              <w:t>przyjazdów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do Polski obejmujących co najmniej 1 nocleg (w tys.)</w:t>
            </w:r>
          </w:p>
        </w:tc>
        <w:tc>
          <w:tcPr>
            <w:tcW w:w="1701" w:type="dxa"/>
          </w:tcPr>
          <w:p w14:paraId="303B8388" w14:textId="260BD2A5" w:rsidR="00BE5831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139</w:t>
            </w:r>
          </w:p>
        </w:tc>
        <w:tc>
          <w:tcPr>
            <w:tcW w:w="1701" w:type="dxa"/>
          </w:tcPr>
          <w:p w14:paraId="7631BF49" w14:textId="60250326" w:rsidR="00BE5831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169</w:t>
            </w:r>
          </w:p>
        </w:tc>
        <w:tc>
          <w:tcPr>
            <w:tcW w:w="1696" w:type="dxa"/>
          </w:tcPr>
          <w:p w14:paraId="6D844D47" w14:textId="10A6E1A5" w:rsidR="00BE5831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189</w:t>
            </w:r>
          </w:p>
        </w:tc>
      </w:tr>
      <w:tr w:rsidR="003C23FC" w:rsidRPr="00283747" w14:paraId="5EC67C65" w14:textId="77777777" w:rsidTr="00B8076C">
        <w:tc>
          <w:tcPr>
            <w:tcW w:w="3964" w:type="dxa"/>
          </w:tcPr>
          <w:p w14:paraId="76303F91" w14:textId="7D7AAB83" w:rsidR="003C23FC" w:rsidRPr="00283747" w:rsidRDefault="003C23FC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73E9A" w:rsidRPr="0028374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 korzystających z bazy noclegowej na terenie Polski</w:t>
            </w:r>
          </w:p>
        </w:tc>
        <w:tc>
          <w:tcPr>
            <w:tcW w:w="1701" w:type="dxa"/>
          </w:tcPr>
          <w:p w14:paraId="34039B7B" w14:textId="76B3A601" w:rsidR="003C23FC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61320</w:t>
            </w:r>
          </w:p>
        </w:tc>
        <w:tc>
          <w:tcPr>
            <w:tcW w:w="1701" w:type="dxa"/>
          </w:tcPr>
          <w:p w14:paraId="097096A1" w14:textId="46F7B61A" w:rsidR="003C23FC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78517</w:t>
            </w:r>
          </w:p>
        </w:tc>
        <w:tc>
          <w:tcPr>
            <w:tcW w:w="1696" w:type="dxa"/>
          </w:tcPr>
          <w:p w14:paraId="3F4F42E7" w14:textId="464E7F46" w:rsidR="003C23FC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91411</w:t>
            </w:r>
          </w:p>
        </w:tc>
      </w:tr>
      <w:tr w:rsidR="003C23FC" w:rsidRPr="00283747" w14:paraId="0C3FF9B1" w14:textId="77777777" w:rsidTr="00B8076C">
        <w:tc>
          <w:tcPr>
            <w:tcW w:w="3964" w:type="dxa"/>
          </w:tcPr>
          <w:p w14:paraId="450489FB" w14:textId="57ED9DCA" w:rsidR="003C23FC" w:rsidRPr="00283747" w:rsidRDefault="003C23FC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L. udzielonych noclegów w bazie noclegowej na terenie Polski</w:t>
            </w:r>
          </w:p>
        </w:tc>
        <w:tc>
          <w:tcPr>
            <w:tcW w:w="1701" w:type="dxa"/>
          </w:tcPr>
          <w:p w14:paraId="5A2E2B03" w14:textId="16880AEE" w:rsidR="003C23FC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131665</w:t>
            </w:r>
          </w:p>
        </w:tc>
        <w:tc>
          <w:tcPr>
            <w:tcW w:w="1701" w:type="dxa"/>
          </w:tcPr>
          <w:p w14:paraId="38350136" w14:textId="0C56907F" w:rsidR="003C23FC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167260</w:t>
            </w:r>
          </w:p>
        </w:tc>
        <w:tc>
          <w:tcPr>
            <w:tcW w:w="1696" w:type="dxa"/>
          </w:tcPr>
          <w:p w14:paraId="647C3667" w14:textId="2E83065A" w:rsidR="003C23FC" w:rsidRPr="00283747" w:rsidRDefault="003E6B11" w:rsidP="003E6B1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191000</w:t>
            </w:r>
          </w:p>
        </w:tc>
      </w:tr>
    </w:tbl>
    <w:p w14:paraId="35AAE864" w14:textId="53CF7B2C" w:rsidR="003E6B11" w:rsidRDefault="00590897" w:rsidP="003E6B1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83747">
        <w:rPr>
          <w:rFonts w:asciiTheme="minorHAnsi" w:hAnsiTheme="minorHAnsi" w:cstheme="minorHAnsi"/>
          <w:b/>
          <w:bCs/>
          <w:sz w:val="24"/>
          <w:szCs w:val="24"/>
        </w:rPr>
        <w:t xml:space="preserve">2a. Model </w:t>
      </w:r>
      <w:proofErr w:type="spellStart"/>
      <w:r w:rsidRPr="00283747">
        <w:rPr>
          <w:rFonts w:asciiTheme="minorHAnsi" w:hAnsiTheme="minorHAnsi" w:cstheme="minorHAnsi"/>
          <w:b/>
          <w:bCs/>
          <w:sz w:val="24"/>
          <w:szCs w:val="24"/>
        </w:rPr>
        <w:t>zachowań</w:t>
      </w:r>
      <w:proofErr w:type="spellEnd"/>
      <w:r w:rsidRPr="00283747">
        <w:rPr>
          <w:rFonts w:asciiTheme="minorHAnsi" w:hAnsiTheme="minorHAnsi" w:cstheme="minorHAnsi"/>
          <w:b/>
          <w:bCs/>
          <w:sz w:val="24"/>
          <w:szCs w:val="24"/>
        </w:rPr>
        <w:t xml:space="preserve"> turystycznych podczas przyjazdów do Polski w 2024 roku</w:t>
      </w:r>
      <w:r w:rsidR="002E0750" w:rsidRPr="002837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6E8A350" w14:textId="6366115F" w:rsidR="00CE67EC" w:rsidRDefault="00CE67EC" w:rsidP="003E6B11">
      <w:pPr>
        <w:spacing w:line="360" w:lineRule="auto"/>
        <w:ind w:firstLine="708"/>
        <w:jc w:val="both"/>
        <w:rPr>
          <w:rFonts w:asciiTheme="minorHAnsi" w:hAnsiTheme="minorHAnsi" w:cstheme="minorHAnsi"/>
          <w:iCs/>
          <w:lang w:val="hu-HU"/>
        </w:rPr>
      </w:pPr>
      <w:r w:rsidRPr="00CE67EC">
        <w:rPr>
          <w:rFonts w:asciiTheme="minorHAnsi" w:hAnsiTheme="minorHAnsi" w:cstheme="minorHAnsi"/>
          <w:iCs/>
          <w:lang w:val="hu-HU"/>
        </w:rPr>
        <w:lastRenderedPageBreak/>
        <w:t xml:space="preserve">W 2024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roku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Węgrzy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najchętniej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odwiedzali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="00620F97">
        <w:rPr>
          <w:rFonts w:asciiTheme="minorHAnsi" w:hAnsiTheme="minorHAnsi" w:cstheme="minorHAnsi"/>
          <w:iCs/>
          <w:lang w:val="hu-HU"/>
        </w:rPr>
        <w:t>Małopolskę</w:t>
      </w:r>
      <w:proofErr w:type="spellEnd"/>
      <w:r w:rsidR="00620F97">
        <w:rPr>
          <w:rFonts w:asciiTheme="minorHAnsi" w:hAnsiTheme="minorHAnsi" w:cstheme="minorHAnsi"/>
          <w:iCs/>
          <w:lang w:val="hu-HU"/>
        </w:rPr>
        <w:t xml:space="preserve"> min.:</w:t>
      </w:r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="00620F97">
        <w:rPr>
          <w:rFonts w:asciiTheme="minorHAnsi" w:hAnsiTheme="minorHAnsi" w:cstheme="minorHAnsi"/>
          <w:iCs/>
          <w:lang w:val="hu-HU"/>
        </w:rPr>
        <w:t>Wieliczkę</w:t>
      </w:r>
      <w:proofErr w:type="spellEnd"/>
      <w:r w:rsidR="00620F97"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 w:rsidR="00620F97">
        <w:rPr>
          <w:rFonts w:asciiTheme="minorHAnsi" w:hAnsiTheme="minorHAnsi" w:cstheme="minorHAnsi"/>
          <w:iCs/>
          <w:lang w:val="hu-HU"/>
        </w:rPr>
        <w:t>Oświęcim</w:t>
      </w:r>
      <w:proofErr w:type="spellEnd"/>
      <w:r w:rsidR="00620F97"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Kraków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Zakopane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Tatry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Ich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pobyt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trwał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zazwyczaj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od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jednego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czterech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dni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Często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wybierali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kwatery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prywatne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lub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tańsze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hotele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ceniąc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sobie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korzystny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stosunek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ceny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wysokiej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jakości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standardów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Podróżowali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głównie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indywidualnie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samochodami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(61%),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jednak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2024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roku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powróciły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także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wyjazdy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z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biurami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podróży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Szczególnie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popularne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były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jednodniowe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wyjazdy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Zakopanego na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Jarmarki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oraz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te z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jedną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nocą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Krakowie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lub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Zakopanem.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Około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25%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Węgrów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korzystało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z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ofert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touroperatorów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natomiast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około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75%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podróżowało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na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własną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rękę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Pociągi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autobusy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stanowiły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środek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transportu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dla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około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25%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turystów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r>
        <w:rPr>
          <w:rFonts w:asciiTheme="minorHAnsi" w:hAnsiTheme="minorHAnsi" w:cstheme="minorHAnsi"/>
          <w:iCs/>
          <w:lang w:val="hu-HU"/>
        </w:rPr>
        <w:t xml:space="preserve"> </w:t>
      </w:r>
    </w:p>
    <w:p w14:paraId="578F9E7A" w14:textId="4BE9417C" w:rsidR="00CE67EC" w:rsidRPr="00CE67EC" w:rsidRDefault="00CE67EC" w:rsidP="00CE67EC">
      <w:pPr>
        <w:spacing w:line="360" w:lineRule="auto"/>
        <w:ind w:firstLine="708"/>
        <w:jc w:val="both"/>
        <w:rPr>
          <w:rFonts w:asciiTheme="minorHAnsi" w:hAnsiTheme="minorHAnsi" w:cstheme="minorHAnsi"/>
          <w:iCs/>
          <w:lang w:val="hu-HU"/>
        </w:rPr>
      </w:pPr>
      <w:proofErr w:type="spellStart"/>
      <w:r w:rsidRPr="00CE67EC">
        <w:rPr>
          <w:rFonts w:asciiTheme="minorHAnsi" w:hAnsiTheme="minorHAnsi" w:cstheme="minorHAnsi"/>
          <w:iCs/>
          <w:lang w:val="hu-HU"/>
        </w:rPr>
        <w:t>Według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danych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firm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ubezpieczeniowych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w 2024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roku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Węgrzy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wykupili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najwięcej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ubezpieczeń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na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wyjazdy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Polski (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zaraz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Austrii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Słowacji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)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okresie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zimowym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wyraźnie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wskazuje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na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rosnące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z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roku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na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zainteresowanie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polskimi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hu-HU"/>
        </w:rPr>
        <w:t>ośrodkami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narciarskimi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Konkurencyjne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kraje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stały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się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drogie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co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skłoniło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Węgrów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poszukiwania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nowych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bliskich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tańszych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rozwiązań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na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zimowy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wypoczynek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>.</w:t>
      </w:r>
    </w:p>
    <w:p w14:paraId="066E3075" w14:textId="77777777" w:rsidR="00CE67EC" w:rsidRDefault="00CE67EC" w:rsidP="00CE67EC">
      <w:pPr>
        <w:spacing w:line="360" w:lineRule="auto"/>
        <w:ind w:firstLine="708"/>
        <w:jc w:val="both"/>
        <w:rPr>
          <w:rFonts w:asciiTheme="minorHAnsi" w:hAnsiTheme="minorHAnsi" w:cstheme="minorHAnsi"/>
          <w:iCs/>
          <w:lang w:val="hu-HU"/>
        </w:rPr>
      </w:pPr>
      <w:proofErr w:type="spellStart"/>
      <w:r w:rsidRPr="00CE67EC">
        <w:rPr>
          <w:rFonts w:asciiTheme="minorHAnsi" w:hAnsiTheme="minorHAnsi" w:cstheme="minorHAnsi"/>
          <w:iCs/>
          <w:lang w:val="hu-HU"/>
        </w:rPr>
        <w:t>Dzięki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podróżom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prasowym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zorganizowanym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przez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ZOPOT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Budapeszt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powstało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wiele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hu-HU"/>
        </w:rPr>
        <w:t>krótkich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filmów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artykułów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(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zarówno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prasie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jak i online)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promujących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możliwości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narciarskie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Małopolsce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–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Zakopanem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jego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okolicach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Rozpoczęto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również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promocję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stoków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Szczyrku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Wiśle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Istnieje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duży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potencjał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rozwoju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turystyki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zimowej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Polsce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dla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Węgrów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, a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kierunek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ten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dopiero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zaczyna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się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dynamicznie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rozwijać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.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Celem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na 2024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rok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było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właśnie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rozszerzenie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wiedzy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oferty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CE67EC">
        <w:rPr>
          <w:rFonts w:asciiTheme="minorHAnsi" w:hAnsiTheme="minorHAnsi" w:cstheme="minorHAnsi"/>
          <w:iCs/>
          <w:lang w:val="hu-HU"/>
        </w:rPr>
        <w:t>dotyczącej</w:t>
      </w:r>
      <w:proofErr w:type="spellEnd"/>
      <w:r w:rsidRPr="00CE67EC">
        <w:rPr>
          <w:rFonts w:asciiTheme="minorHAnsi" w:hAnsiTheme="minorHAnsi" w:cstheme="minorHAnsi"/>
          <w:iCs/>
          <w:lang w:val="hu-HU"/>
        </w:rPr>
        <w:t xml:space="preserve"> Polski.</w:t>
      </w:r>
    </w:p>
    <w:p w14:paraId="2299FFC9" w14:textId="590D21B4" w:rsidR="00620F97" w:rsidRDefault="00620F97" w:rsidP="00620F97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620F97">
        <w:rPr>
          <w:rFonts w:asciiTheme="minorHAnsi" w:hAnsiTheme="minorHAnsi" w:cstheme="minorHAnsi"/>
          <w:iCs/>
        </w:rPr>
        <w:t xml:space="preserve">Węgierscy turyści, rezerwując noclegi indywidualnie, najczęściej korzystają z platform www.szallas.hu lub </w:t>
      </w:r>
      <w:hyperlink r:id="rId8" w:history="1">
        <w:r w:rsidRPr="00F674C8">
          <w:rPr>
            <w:rStyle w:val="Hipercze"/>
            <w:rFonts w:asciiTheme="minorHAnsi" w:hAnsiTheme="minorHAnsi" w:cstheme="minorHAnsi"/>
            <w:iCs/>
          </w:rPr>
          <w:t>www.booking.com</w:t>
        </w:r>
      </w:hyperlink>
      <w:r w:rsidRPr="00620F97">
        <w:rPr>
          <w:rFonts w:asciiTheme="minorHAnsi" w:hAnsiTheme="minorHAnsi" w:cstheme="minorHAnsi"/>
          <w:iCs/>
        </w:rPr>
        <w:t>.</w:t>
      </w:r>
    </w:p>
    <w:p w14:paraId="41E8B1E7" w14:textId="52D0780A" w:rsidR="003E6B11" w:rsidRPr="003E6B11" w:rsidRDefault="003E6B11" w:rsidP="00620F97">
      <w:pPr>
        <w:spacing w:line="360" w:lineRule="auto"/>
        <w:ind w:firstLine="708"/>
        <w:jc w:val="both"/>
        <w:rPr>
          <w:rFonts w:asciiTheme="minorHAnsi" w:hAnsiTheme="minorHAnsi" w:cstheme="minorHAnsi"/>
          <w:iCs/>
          <w:lang w:val="hu-HU"/>
        </w:rPr>
      </w:pPr>
      <w:r w:rsidRPr="003E6B11">
        <w:rPr>
          <w:rFonts w:asciiTheme="minorHAnsi" w:hAnsiTheme="minorHAnsi" w:cstheme="minorHAnsi"/>
          <w:iCs/>
        </w:rPr>
        <w:t>Węgrzy oprócz letnich wakacji podróżują w następujących terminach</w:t>
      </w:r>
      <w:r w:rsidRPr="003E6B11">
        <w:rPr>
          <w:rFonts w:asciiTheme="minorHAnsi" w:hAnsiTheme="minorHAnsi" w:cstheme="minorHAnsi"/>
          <w:iCs/>
          <w:lang w:val="hu-HU"/>
        </w:rPr>
        <w:t>:</w:t>
      </w:r>
    </w:p>
    <w:p w14:paraId="16FDBE3E" w14:textId="68A13893" w:rsidR="003E6B11" w:rsidRPr="003E6B11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3E6B11">
        <w:rPr>
          <w:rFonts w:asciiTheme="minorHAnsi" w:hAnsiTheme="minorHAnsi" w:cstheme="minorHAnsi"/>
          <w:iCs/>
        </w:rPr>
        <w:t xml:space="preserve">Długi weekend koło 15 marca – </w:t>
      </w:r>
      <w:r>
        <w:rPr>
          <w:rFonts w:asciiTheme="minorHAnsi" w:hAnsiTheme="minorHAnsi" w:cstheme="minorHAnsi"/>
          <w:iCs/>
        </w:rPr>
        <w:t xml:space="preserve">węgierskiego </w:t>
      </w:r>
      <w:r w:rsidRPr="003E6B11">
        <w:rPr>
          <w:rFonts w:asciiTheme="minorHAnsi" w:hAnsiTheme="minorHAnsi" w:cstheme="minorHAnsi"/>
          <w:iCs/>
        </w:rPr>
        <w:t>święta narodowego</w:t>
      </w:r>
    </w:p>
    <w:p w14:paraId="1F780367" w14:textId="0A32F49D" w:rsidR="003E6B11" w:rsidRPr="003E6B11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W okresie </w:t>
      </w:r>
      <w:r w:rsidRPr="003E6B11">
        <w:rPr>
          <w:rFonts w:asciiTheme="minorHAnsi" w:hAnsiTheme="minorHAnsi" w:cstheme="minorHAnsi"/>
          <w:iCs/>
        </w:rPr>
        <w:t>świ</w:t>
      </w:r>
      <w:r>
        <w:rPr>
          <w:rFonts w:asciiTheme="minorHAnsi" w:hAnsiTheme="minorHAnsi" w:cstheme="minorHAnsi"/>
          <w:iCs/>
        </w:rPr>
        <w:t>ąt</w:t>
      </w:r>
      <w:r w:rsidRPr="003E6B11">
        <w:rPr>
          <w:rFonts w:asciiTheme="minorHAnsi" w:hAnsiTheme="minorHAnsi" w:cstheme="minorHAnsi"/>
          <w:iCs/>
        </w:rPr>
        <w:t xml:space="preserve"> wielkanocn</w:t>
      </w:r>
      <w:r>
        <w:rPr>
          <w:rFonts w:asciiTheme="minorHAnsi" w:hAnsiTheme="minorHAnsi" w:cstheme="minorHAnsi"/>
          <w:iCs/>
        </w:rPr>
        <w:t xml:space="preserve">ych </w:t>
      </w:r>
      <w:r>
        <w:rPr>
          <w:rFonts w:asciiTheme="minorHAnsi" w:hAnsiTheme="minorHAnsi" w:cstheme="minorHAnsi"/>
          <w:iCs/>
          <w:lang w:val="hu-HU"/>
        </w:rPr>
        <w:t>(</w:t>
      </w:r>
      <w:proofErr w:type="spellStart"/>
      <w:r>
        <w:rPr>
          <w:rFonts w:asciiTheme="minorHAnsi" w:hAnsiTheme="minorHAnsi" w:cstheme="minorHAnsi"/>
          <w:iCs/>
          <w:lang w:val="hu-HU"/>
        </w:rPr>
        <w:t>które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s</w:t>
      </w:r>
      <w:r>
        <w:rPr>
          <w:rFonts w:asciiTheme="minorHAnsi" w:hAnsiTheme="minorHAnsi" w:cstheme="minorHAnsi"/>
          <w:iCs/>
        </w:rPr>
        <w:t>ą dłuższe w szkołach</w:t>
      </w:r>
      <w:r>
        <w:rPr>
          <w:rFonts w:asciiTheme="minorHAnsi" w:hAnsiTheme="minorHAnsi" w:cstheme="minorHAnsi"/>
          <w:iCs/>
          <w:lang w:val="hu-HU"/>
        </w:rPr>
        <w:t>)</w:t>
      </w:r>
    </w:p>
    <w:p w14:paraId="5A2746B5" w14:textId="09D67828" w:rsidR="003E6B11" w:rsidRPr="003E6B11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3E6B11">
        <w:rPr>
          <w:rFonts w:asciiTheme="minorHAnsi" w:hAnsiTheme="minorHAnsi" w:cstheme="minorHAnsi"/>
          <w:iCs/>
        </w:rPr>
        <w:t>Zielone świątki</w:t>
      </w:r>
      <w:r>
        <w:rPr>
          <w:rFonts w:asciiTheme="minorHAnsi" w:hAnsiTheme="minorHAnsi" w:cstheme="minorHAnsi"/>
          <w:iCs/>
        </w:rPr>
        <w:t xml:space="preserve"> (Węgrzy nie świętują Bożego Ciała</w:t>
      </w:r>
      <w:r>
        <w:rPr>
          <w:rFonts w:asciiTheme="minorHAnsi" w:hAnsiTheme="minorHAnsi" w:cstheme="minorHAnsi"/>
          <w:iCs/>
          <w:lang w:val="hu-HU"/>
        </w:rPr>
        <w:t>)</w:t>
      </w:r>
    </w:p>
    <w:p w14:paraId="20E16755" w14:textId="59559233" w:rsidR="003E6B11" w:rsidRPr="003E6B11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proofErr w:type="spellStart"/>
      <w:r>
        <w:rPr>
          <w:rFonts w:asciiTheme="minorHAnsi" w:hAnsiTheme="minorHAnsi" w:cstheme="minorHAnsi"/>
          <w:iCs/>
          <w:lang w:val="hu-HU"/>
        </w:rPr>
        <w:t>Koło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20 </w:t>
      </w:r>
      <w:proofErr w:type="spellStart"/>
      <w:r>
        <w:rPr>
          <w:rFonts w:asciiTheme="minorHAnsi" w:hAnsiTheme="minorHAnsi" w:cstheme="minorHAnsi"/>
          <w:iCs/>
          <w:lang w:val="hu-HU"/>
        </w:rPr>
        <w:t>sierpnia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, </w:t>
      </w:r>
      <w:proofErr w:type="spellStart"/>
      <w:r>
        <w:rPr>
          <w:rFonts w:asciiTheme="minorHAnsi" w:hAnsiTheme="minorHAnsi" w:cstheme="minorHAnsi"/>
          <w:iCs/>
          <w:lang w:val="hu-HU"/>
        </w:rPr>
        <w:t>który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hu-HU"/>
        </w:rPr>
        <w:t>jest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hu-HU"/>
        </w:rPr>
        <w:t>świętem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hu-HU"/>
        </w:rPr>
        <w:t>narodowym</w:t>
      </w:r>
      <w:proofErr w:type="spellEnd"/>
    </w:p>
    <w:p w14:paraId="2FD061C0" w14:textId="2A2F3487" w:rsidR="003E6B11" w:rsidRPr="003E6B11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Okres a</w:t>
      </w:r>
      <w:r w:rsidRPr="003E6B11">
        <w:rPr>
          <w:rFonts w:asciiTheme="minorHAnsi" w:hAnsiTheme="minorHAnsi" w:cstheme="minorHAnsi"/>
          <w:iCs/>
        </w:rPr>
        <w:t>dwent</w:t>
      </w:r>
      <w:r>
        <w:rPr>
          <w:rFonts w:asciiTheme="minorHAnsi" w:hAnsiTheme="minorHAnsi" w:cstheme="minorHAnsi"/>
          <w:iCs/>
        </w:rPr>
        <w:t>owy</w:t>
      </w:r>
    </w:p>
    <w:p w14:paraId="6842CDFA" w14:textId="78C14451" w:rsidR="003E6B11" w:rsidRPr="003E6B11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3E6B11">
        <w:rPr>
          <w:rFonts w:asciiTheme="minorHAnsi" w:hAnsiTheme="minorHAnsi" w:cstheme="minorHAnsi"/>
          <w:iCs/>
        </w:rPr>
        <w:t xml:space="preserve">Ferie zimowe </w:t>
      </w:r>
      <w:r w:rsidRPr="003E6B11">
        <w:rPr>
          <w:rFonts w:asciiTheme="minorHAnsi" w:hAnsiTheme="minorHAnsi" w:cstheme="minorHAnsi"/>
          <w:iCs/>
          <w:lang w:val="hu-HU"/>
        </w:rPr>
        <w:t>(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od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2 lat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to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jest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od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21-22.12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do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końca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pierwszego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tygodnia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stycznia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danego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roku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>)</w:t>
      </w:r>
    </w:p>
    <w:p w14:paraId="16D17ED9" w14:textId="216CA7AE" w:rsidR="003E6B11" w:rsidRPr="00620F97" w:rsidRDefault="003E6B11" w:rsidP="003E6B1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iCs/>
        </w:rPr>
      </w:pPr>
      <w:proofErr w:type="spellStart"/>
      <w:r w:rsidRPr="003E6B11">
        <w:rPr>
          <w:rFonts w:asciiTheme="minorHAnsi" w:hAnsiTheme="minorHAnsi" w:cstheme="minorHAnsi"/>
          <w:iCs/>
          <w:lang w:val="hu-HU"/>
        </w:rPr>
        <w:t>Latem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w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lipcu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i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sierpniu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Węgrzy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wybierają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Balaton</w:t>
      </w:r>
      <w:r>
        <w:rPr>
          <w:rFonts w:asciiTheme="minorHAnsi" w:hAnsiTheme="minorHAnsi" w:cstheme="minorHAnsi"/>
          <w:iCs/>
          <w:lang w:val="hu-HU"/>
        </w:rPr>
        <w:t xml:space="preserve">, a </w:t>
      </w:r>
      <w:proofErr w:type="spellStart"/>
      <w:r>
        <w:rPr>
          <w:rFonts w:asciiTheme="minorHAnsi" w:hAnsiTheme="minorHAnsi" w:cstheme="minorHAnsi"/>
          <w:iCs/>
          <w:lang w:val="hu-HU"/>
        </w:rPr>
        <w:t>zagranicą</w:t>
      </w:r>
      <w:proofErr w:type="spellEnd"/>
      <w:r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najczęściej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 xml:space="preserve"> </w:t>
      </w:r>
      <w:proofErr w:type="spellStart"/>
      <w:r w:rsidRPr="003E6B11">
        <w:rPr>
          <w:rFonts w:asciiTheme="minorHAnsi" w:hAnsiTheme="minorHAnsi" w:cstheme="minorHAnsi"/>
          <w:iCs/>
          <w:lang w:val="hu-HU"/>
        </w:rPr>
        <w:t>Chorwację</w:t>
      </w:r>
      <w:proofErr w:type="spellEnd"/>
      <w:r w:rsidRPr="003E6B11">
        <w:rPr>
          <w:rFonts w:asciiTheme="minorHAnsi" w:hAnsiTheme="minorHAnsi" w:cstheme="minorHAnsi"/>
          <w:iCs/>
          <w:lang w:val="hu-HU"/>
        </w:rPr>
        <w:t>.</w:t>
      </w:r>
    </w:p>
    <w:p w14:paraId="019EEAEB" w14:textId="77777777" w:rsidR="00620F97" w:rsidRDefault="00620F97" w:rsidP="00620F97">
      <w:pPr>
        <w:pStyle w:val="Akapitzlist"/>
        <w:spacing w:line="360" w:lineRule="auto"/>
        <w:ind w:left="1428"/>
        <w:jc w:val="both"/>
        <w:rPr>
          <w:rFonts w:asciiTheme="minorHAnsi" w:hAnsiTheme="minorHAnsi" w:cstheme="minorHAnsi"/>
          <w:iCs/>
        </w:rPr>
      </w:pPr>
    </w:p>
    <w:p w14:paraId="2EDDD02A" w14:textId="77777777" w:rsidR="00155C41" w:rsidRDefault="00155C41" w:rsidP="00620F97">
      <w:pPr>
        <w:pStyle w:val="Akapitzlist"/>
        <w:spacing w:line="360" w:lineRule="auto"/>
        <w:ind w:left="1428"/>
        <w:jc w:val="both"/>
        <w:rPr>
          <w:rFonts w:asciiTheme="minorHAnsi" w:hAnsiTheme="minorHAnsi" w:cstheme="minorHAnsi"/>
          <w:iCs/>
        </w:rPr>
      </w:pPr>
    </w:p>
    <w:p w14:paraId="04EE0C45" w14:textId="77777777" w:rsidR="00155C41" w:rsidRPr="003E6B11" w:rsidRDefault="00155C41" w:rsidP="00620F97">
      <w:pPr>
        <w:pStyle w:val="Akapitzlist"/>
        <w:spacing w:line="360" w:lineRule="auto"/>
        <w:ind w:left="1428"/>
        <w:jc w:val="both"/>
        <w:rPr>
          <w:rFonts w:asciiTheme="minorHAnsi" w:hAnsiTheme="minorHAnsi" w:cstheme="minorHAnsi"/>
          <w:iCs/>
        </w:rPr>
      </w:pPr>
    </w:p>
    <w:p w14:paraId="4136C1CD" w14:textId="1871BAA5" w:rsidR="003E6B11" w:rsidRDefault="002E0750" w:rsidP="003E6B11">
      <w:pPr>
        <w:spacing w:after="0" w:line="240" w:lineRule="auto"/>
        <w:rPr>
          <w:rFonts w:asciiTheme="minorHAnsi" w:eastAsia="Calibri" w:hAnsiTheme="minorHAnsi" w:cstheme="minorHAnsi"/>
          <w:iCs/>
          <w:color w:val="000000" w:themeColor="text1"/>
        </w:rPr>
      </w:pPr>
      <w:r w:rsidRPr="00283747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2b. </w:t>
      </w:r>
      <w:r w:rsidR="00590897" w:rsidRPr="00283747">
        <w:rPr>
          <w:rFonts w:asciiTheme="minorHAnsi" w:hAnsiTheme="minorHAnsi" w:cstheme="minorHAnsi"/>
          <w:b/>
          <w:bCs/>
          <w:sz w:val="24"/>
          <w:szCs w:val="24"/>
        </w:rPr>
        <w:t>Popyt na polskie produkty turystyczne</w:t>
      </w:r>
    </w:p>
    <w:p w14:paraId="285F0AAA" w14:textId="77777777" w:rsidR="003E6B11" w:rsidRPr="003E6B11" w:rsidRDefault="003E6B11" w:rsidP="003E6B11">
      <w:pPr>
        <w:spacing w:after="0" w:line="240" w:lineRule="auto"/>
        <w:rPr>
          <w:rFonts w:asciiTheme="minorHAnsi" w:hAnsiTheme="minorHAnsi" w:cstheme="minorHAnsi"/>
          <w:iCs/>
          <w:color w:val="000000" w:themeColor="text1"/>
        </w:rPr>
      </w:pPr>
    </w:p>
    <w:p w14:paraId="020AB322" w14:textId="5DED0F92" w:rsidR="003E6B11" w:rsidRDefault="003E6B11" w:rsidP="003E6B11">
      <w:pPr>
        <w:spacing w:line="360" w:lineRule="auto"/>
        <w:ind w:firstLine="360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Najbardziej ulubionymi i najczęściej wybieranymi produktami turystycznymi przez Węgrów w Polsce są</w:t>
      </w:r>
      <w:r w:rsidR="00CD3E26">
        <w:rPr>
          <w:rFonts w:asciiTheme="minorHAnsi" w:hAnsiTheme="minorHAnsi" w:cstheme="minorHAnsi"/>
          <w:iCs/>
          <w:color w:val="000000" w:themeColor="text1"/>
        </w:rPr>
        <w:t>:</w:t>
      </w:r>
    </w:p>
    <w:p w14:paraId="4D8C7347" w14:textId="284ED3D7" w:rsidR="003E6B11" w:rsidRDefault="003E6B11" w:rsidP="003E6B1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Zakopane – Gubałówka, śnieżny labirynt i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Snowlandia</w:t>
      </w:r>
      <w:proofErr w:type="spellEnd"/>
    </w:p>
    <w:p w14:paraId="329D5758" w14:textId="3EA4A857" w:rsidR="003E6B11" w:rsidRDefault="003E6B11" w:rsidP="003E6B1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Spływ Dunajcem</w:t>
      </w:r>
    </w:p>
    <w:p w14:paraId="69866604" w14:textId="52AE2327" w:rsidR="003E6B11" w:rsidRDefault="003E6B11" w:rsidP="003E6B1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Tatry – Morskie Oko oraz stoki narciarskie</w:t>
      </w:r>
    </w:p>
    <w:p w14:paraId="51CC31C2" w14:textId="2046D5CF" w:rsidR="003E6B11" w:rsidRDefault="003E6B11" w:rsidP="003E6B1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Oświęcim</w:t>
      </w:r>
    </w:p>
    <w:p w14:paraId="0CC49036" w14:textId="02B12AF0" w:rsidR="003E6B11" w:rsidRDefault="003E6B11" w:rsidP="003E6B1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Kraków</w:t>
      </w:r>
    </w:p>
    <w:p w14:paraId="731E5A5A" w14:textId="623DB7E4" w:rsidR="003E6B11" w:rsidRDefault="003E6B11" w:rsidP="003E6B1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Wieliczka</w:t>
      </w:r>
    </w:p>
    <w:p w14:paraId="1108236F" w14:textId="09A5CCB7" w:rsidR="003E6B11" w:rsidRDefault="003E6B11" w:rsidP="003E6B11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Niszowe</w:t>
      </w:r>
      <w:r w:rsidR="00CD3E26">
        <w:rPr>
          <w:rFonts w:asciiTheme="minorHAnsi" w:hAnsiTheme="minorHAnsi" w:cstheme="minorHAnsi"/>
          <w:iCs/>
          <w:color w:val="000000" w:themeColor="text1"/>
        </w:rPr>
        <w:t>, ale cieszące się coraz większym zainteresowaniem są:</w:t>
      </w:r>
    </w:p>
    <w:p w14:paraId="1503C2DE" w14:textId="3BA6418D" w:rsidR="003E6B11" w:rsidRDefault="003E6B11" w:rsidP="003E6B1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Turystyka aktywna – trasy rowerowe i wycieczki górskie na południu Polski</w:t>
      </w:r>
    </w:p>
    <w:p w14:paraId="590C35B0" w14:textId="28188EE8" w:rsidR="003E6B11" w:rsidRDefault="003E6B11" w:rsidP="003E6B1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Mazury – turystyka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slow</w:t>
      </w:r>
      <w:proofErr w:type="spellEnd"/>
      <w:r w:rsidR="00CD3E26">
        <w:rPr>
          <w:rFonts w:asciiTheme="minorHAnsi" w:hAnsiTheme="minorHAnsi" w:cstheme="minorHAnsi"/>
          <w:iCs/>
          <w:color w:val="000000" w:themeColor="text1"/>
        </w:rPr>
        <w:t>,</w:t>
      </w:r>
      <w:r>
        <w:rPr>
          <w:rFonts w:asciiTheme="minorHAnsi" w:hAnsiTheme="minorHAnsi" w:cstheme="minorHAnsi"/>
          <w:iCs/>
          <w:color w:val="000000" w:themeColor="text1"/>
        </w:rPr>
        <w:t xml:space="preserve"> karawaning</w:t>
      </w:r>
    </w:p>
    <w:p w14:paraId="32F85480" w14:textId="178B73E2" w:rsidR="003E6B11" w:rsidRDefault="003E6B11" w:rsidP="003E6B1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proofErr w:type="spellStart"/>
      <w:r>
        <w:rPr>
          <w:rFonts w:asciiTheme="minorHAnsi" w:hAnsiTheme="minorHAnsi" w:cstheme="minorHAnsi"/>
          <w:iCs/>
          <w:color w:val="000000" w:themeColor="text1"/>
        </w:rPr>
        <w:t>Energylandia</w:t>
      </w:r>
      <w:proofErr w:type="spellEnd"/>
    </w:p>
    <w:p w14:paraId="75E236C2" w14:textId="76C98B1A" w:rsidR="003E6B11" w:rsidRDefault="003E6B11" w:rsidP="003E6B1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Turystyka MICE  i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city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breaki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 do nowoczesnych miast- Warszawa, Łódź</w:t>
      </w:r>
    </w:p>
    <w:p w14:paraId="35387C18" w14:textId="507547F0" w:rsidR="003E6B11" w:rsidRDefault="003E6B11" w:rsidP="003E6B1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szlaki kulinarne na południu Polski</w:t>
      </w:r>
    </w:p>
    <w:p w14:paraId="3B537163" w14:textId="70AA96ED" w:rsidR="003E6B11" w:rsidRPr="00C678CF" w:rsidRDefault="00C678CF" w:rsidP="003E6B11">
      <w:pPr>
        <w:spacing w:line="360" w:lineRule="auto"/>
        <w:ind w:left="12" w:firstLine="348"/>
        <w:jc w:val="both"/>
        <w:rPr>
          <w:rFonts w:asciiTheme="minorHAnsi" w:hAnsiTheme="minorHAnsi" w:cstheme="minorHAnsi"/>
        </w:rPr>
      </w:pPr>
      <w:r w:rsidRPr="00C678CF">
        <w:rPr>
          <w:rFonts w:asciiTheme="minorHAnsi" w:hAnsiTheme="minorHAnsi" w:cstheme="minorHAnsi"/>
        </w:rPr>
        <w:t>Największą konkurencją dla polskiej oferty turystycznej są kraje sąsiednie, takie jak Austria, Słowacja, Słowenia i Rumunia, które również oferują góry, śnieg, stoki narciarskie oraz miasta z bogatym dziedzictwem kulturowym. W wyborze kierunku przez Węgrów decydujące mogą być atrakcyjne ceny, życzliwość ludzi, szeroka oferta noclegowa i kulinarna, a także wysoki standard usług w Polsce. Dodatkowo, polsko-węgierska przyjaźń oraz węgierskie pamiątki historyczne w Polsce mogą stanowić istotny czynnik motywujący turystów</w:t>
      </w:r>
      <w:r w:rsidR="003E6B11" w:rsidRPr="00C678CF">
        <w:rPr>
          <w:rFonts w:asciiTheme="minorHAnsi" w:hAnsiTheme="minorHAnsi" w:cstheme="minorHAnsi"/>
        </w:rPr>
        <w:t>.</w:t>
      </w:r>
    </w:p>
    <w:p w14:paraId="6E16C7E1" w14:textId="617C2AC6" w:rsidR="00203D67" w:rsidRPr="00283747" w:rsidRDefault="00590897" w:rsidP="003E6B11">
      <w:pPr>
        <w:pStyle w:val="BZ-rozdzia"/>
        <w:spacing w:line="360" w:lineRule="auto"/>
      </w:pPr>
      <w:bookmarkStart w:id="3" w:name="_Toc61350019"/>
      <w:r w:rsidRPr="00283747">
        <w:t>3.</w:t>
      </w:r>
      <w:r w:rsidR="00203D67" w:rsidRPr="00283747">
        <w:t xml:space="preserve"> </w:t>
      </w:r>
      <w:r w:rsidR="00D52669" w:rsidRPr="00283747">
        <w:t>Połączenia</w:t>
      </w:r>
      <w:bookmarkEnd w:id="3"/>
    </w:p>
    <w:p w14:paraId="06855428" w14:textId="77777777" w:rsidR="00590897" w:rsidRPr="00283747" w:rsidRDefault="00590897" w:rsidP="00590897">
      <w:pPr>
        <w:rPr>
          <w:rFonts w:asciiTheme="minorHAnsi" w:hAnsiTheme="minorHAnsi" w:cstheme="minorHAnsi"/>
          <w:sz w:val="24"/>
          <w:szCs w:val="24"/>
        </w:rPr>
      </w:pPr>
    </w:p>
    <w:p w14:paraId="6F647E61" w14:textId="77777777" w:rsidR="003E6B11" w:rsidRPr="003E6B11" w:rsidRDefault="003E6B11" w:rsidP="003E6B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bookmarkStart w:id="4" w:name="_Toc375299258"/>
      <w:bookmarkStart w:id="5" w:name="_Toc61350023"/>
      <w:bookmarkEnd w:id="2"/>
      <w:proofErr w:type="spellStart"/>
      <w:r w:rsidRPr="003E6B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Lotnicze</w:t>
      </w:r>
      <w:proofErr w:type="spellEnd"/>
      <w:r w:rsidRPr="003E6B1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513E0E" w14:textId="77777777" w:rsidR="003E6B11" w:rsidRPr="003E6B11" w:rsidRDefault="003E6B11" w:rsidP="003E6B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0C691CD" w14:textId="37C15EAB" w:rsidR="003E6B11" w:rsidRPr="003E6B11" w:rsidRDefault="003E6B11" w:rsidP="003E6B11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E6B11">
        <w:rPr>
          <w:rFonts w:asciiTheme="minorHAnsi" w:hAnsiTheme="minorHAnsi" w:cstheme="minorHAnsi"/>
          <w:sz w:val="22"/>
          <w:szCs w:val="22"/>
        </w:rPr>
        <w:t xml:space="preserve">PLL LOT 4-5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razy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dziennie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Budapeszt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lotnisko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Liszt Ferenc –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Warszawa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lotnisko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Chopina</w:t>
      </w:r>
      <w:proofErr w:type="spellEnd"/>
    </w:p>
    <w:p w14:paraId="4E277975" w14:textId="7ED477DF" w:rsidR="003E6B11" w:rsidRPr="003E6B11" w:rsidRDefault="003E6B11" w:rsidP="003E6B11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E6B11">
        <w:rPr>
          <w:rFonts w:asciiTheme="minorHAnsi" w:hAnsiTheme="minorHAnsi" w:cstheme="minorHAnsi"/>
          <w:sz w:val="22"/>
          <w:szCs w:val="22"/>
        </w:rPr>
        <w:t>Wizzair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Budapeszt-Warszawa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razy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tygodniu</w:t>
      </w:r>
      <w:proofErr w:type="spellEnd"/>
    </w:p>
    <w:p w14:paraId="155E61BD" w14:textId="745891DC" w:rsidR="003E6B11" w:rsidRDefault="003E6B11" w:rsidP="003E6B11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E6B11">
        <w:rPr>
          <w:rFonts w:asciiTheme="minorHAnsi" w:hAnsiTheme="minorHAnsi" w:cstheme="minorHAnsi"/>
          <w:sz w:val="22"/>
          <w:szCs w:val="22"/>
        </w:rPr>
        <w:t>Rynair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Budapeszt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Warszawa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razy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tygodniu</w:t>
      </w:r>
      <w:proofErr w:type="spellEnd"/>
    </w:p>
    <w:p w14:paraId="11D6204B" w14:textId="2FA27CD3" w:rsidR="003E6B11" w:rsidRPr="003E6B11" w:rsidRDefault="003E6B11" w:rsidP="003E6B11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Brak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połączeń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lotniczych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miastami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nadmorskimi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lub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innymi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dużymi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miastami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>
        <w:rPr>
          <w:rFonts w:asciiTheme="minorHAnsi" w:hAnsiTheme="minorHAnsi" w:cstheme="minorHAnsi"/>
          <w:sz w:val="22"/>
          <w:szCs w:val="22"/>
        </w:rPr>
        <w:t>Polsce</w:t>
      </w:r>
      <w:proofErr w:type="spellEnd"/>
    </w:p>
    <w:p w14:paraId="551C2D70" w14:textId="10F89DFA" w:rsidR="003E6B11" w:rsidRPr="003E6B11" w:rsidRDefault="003E6B11" w:rsidP="003E6B11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50801E5" w14:textId="04E09BB0" w:rsidR="003E6B11" w:rsidRPr="003E6B11" w:rsidRDefault="003E6B11" w:rsidP="003E6B11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Lot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Budapeszt-Warszawa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trwa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50-60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minut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Bilety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tanie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linie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lotnicze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też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przeloty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PLL LOT w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zależności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od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okresu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mogą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wychodzić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taniej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niż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bilety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kolejowe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, co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sprawia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3E6B11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że podróż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samolotem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jest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konkurencyjnym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środkiem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transportu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porównaniu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koleji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32A3BC96" w14:textId="77777777" w:rsidR="003E6B11" w:rsidRPr="003E6B11" w:rsidRDefault="003E6B11" w:rsidP="003E6B1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E5DD93" w14:textId="036E1EE4" w:rsidR="003E6B11" w:rsidRPr="003E6B11" w:rsidRDefault="003E6B11" w:rsidP="003E6B1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spellStart"/>
      <w:r w:rsidRPr="003E6B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Kolejowe</w:t>
      </w:r>
      <w:proofErr w:type="spellEnd"/>
      <w:r w:rsidRPr="003E6B1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723E79" w14:textId="77777777" w:rsidR="003E6B11" w:rsidRPr="003E6B11" w:rsidRDefault="003E6B11" w:rsidP="003E6B1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1D37B47" w14:textId="35C5AB49" w:rsidR="003E6B11" w:rsidRPr="003E6B11" w:rsidRDefault="003E6B11" w:rsidP="003E6B11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Pociągi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Budapeszt-Kraków-Warszawa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kursują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codziennie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E6B11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Budapesztu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Warszawy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(13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jazdy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) i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Krakowa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(11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jazdy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można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dojechać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zarówno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dzień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, jak i w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nocy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pociągi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dzienne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oferują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bezpośrednią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podróż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Katowic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południowo-wschodnich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regionów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Polski. 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Zakopanego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można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dotrzeć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przesiadką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Krakowie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Są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pociągi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węgierskiego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MÁV i </w:t>
      </w:r>
      <w:proofErr w:type="spellStart"/>
      <w:r w:rsidRPr="003E6B11">
        <w:rPr>
          <w:rFonts w:asciiTheme="minorHAnsi" w:hAnsiTheme="minorHAnsi" w:cstheme="minorHAnsi"/>
          <w:sz w:val="22"/>
          <w:szCs w:val="22"/>
        </w:rPr>
        <w:t>polskiego</w:t>
      </w:r>
      <w:proofErr w:type="spellEnd"/>
      <w:r w:rsidRPr="003E6B11">
        <w:rPr>
          <w:rFonts w:asciiTheme="minorHAnsi" w:hAnsiTheme="minorHAnsi" w:cstheme="minorHAnsi"/>
          <w:sz w:val="22"/>
          <w:szCs w:val="22"/>
        </w:rPr>
        <w:t xml:space="preserve"> PKP.</w:t>
      </w:r>
    </w:p>
    <w:p w14:paraId="74FF158E" w14:textId="352887CF" w:rsidR="003E6B11" w:rsidRPr="003E6B11" w:rsidRDefault="00C678CF" w:rsidP="003E6B11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Dzięki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programom START EUROPA i START EUROPA PLUS,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podróżujący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mają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dostęp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limitowanej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puli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tanich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biletów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międzynarodowych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trasach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między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wszystkimi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stacjami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Węgrzech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i w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Polsce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Bilety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te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są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dostępne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również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online, a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ich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ceny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zaczynają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22 EUR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połączenia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Krakowa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Katowic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, Zakopanego i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Wrocławia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podróż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Poznania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Warszawy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trzeba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zapłacić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29 EUR,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natomiast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Gdańska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Szczecina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78CF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C678CF">
        <w:rPr>
          <w:rFonts w:asciiTheme="minorHAnsi" w:hAnsiTheme="minorHAnsi" w:cstheme="minorHAnsi"/>
          <w:sz w:val="22"/>
          <w:szCs w:val="22"/>
        </w:rPr>
        <w:t xml:space="preserve"> 36 EUR.</w:t>
      </w:r>
    </w:p>
    <w:p w14:paraId="78EAE2F1" w14:textId="77777777" w:rsidR="003E6B11" w:rsidRDefault="003E6B11" w:rsidP="003E6B11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r:id="rId9" w:history="1">
        <w:r w:rsidRPr="003E6B11">
          <w:rPr>
            <w:rStyle w:val="Hipercze"/>
            <w:rFonts w:asciiTheme="minorHAnsi" w:hAnsiTheme="minorHAnsi" w:cstheme="minorHAnsi"/>
            <w:sz w:val="22"/>
            <w:szCs w:val="22"/>
          </w:rPr>
          <w:t>https://www.mavcsoport.hu/mav-start/nemzetkozi-utazas/lengyelorszag</w:t>
        </w:r>
      </w:hyperlink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3E6B1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887672" w14:textId="77777777" w:rsidR="00C678CF" w:rsidRPr="003E6B11" w:rsidRDefault="00C678CF" w:rsidP="003E6B11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6711F3" w14:textId="05F8BFC8" w:rsidR="003E6B11" w:rsidRPr="003E6B11" w:rsidRDefault="003E6B11" w:rsidP="00C678C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3E6B11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8131D2D" wp14:editId="2D946BDD">
            <wp:extent cx="2511188" cy="2147273"/>
            <wp:effectExtent l="0" t="0" r="3810" b="5715"/>
            <wp:docPr id="60947932" name="Kép 1" descr="A képen térkép, atlasz, szöveg, diagra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7932" name="Kép 1" descr="A képen térkép, atlasz, szöveg, diagram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5199" b="6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08" cy="220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A94F5" w14:textId="29BCD7E4" w:rsidR="003E6B11" w:rsidRPr="003E6B11" w:rsidRDefault="003E6B11" w:rsidP="003E6B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3E6B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Autobusowe</w:t>
      </w:r>
      <w:proofErr w:type="spellEnd"/>
    </w:p>
    <w:p w14:paraId="0F915213" w14:textId="77777777" w:rsidR="003E6B11" w:rsidRPr="003E6B11" w:rsidRDefault="003E6B11" w:rsidP="003E6B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50658ED" w14:textId="23106874" w:rsidR="003E6B11" w:rsidRPr="003E6B11" w:rsidRDefault="003E6B11" w:rsidP="003E6B11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Dzi</w:t>
      </w:r>
      <w:r w:rsidRPr="003E6B11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ęki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 rozbudowanym połączeniom autobusowym firmy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Flixbus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są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możliwe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podróże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pomiędzy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największymi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miastami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Węgrzech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i Polski.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Bez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przesiadki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możemy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pojechać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ze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stolicy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W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>ęgier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  <w:lang w:val="pl-PL"/>
        </w:rPr>
        <w:t xml:space="preserve"> między innymi d</w:t>
      </w:r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Krakowa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(7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Wrocławia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(8,5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Warszawy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(12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Gdańska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(15,5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Łodzi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(11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godzin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Autobusy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kursują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codziennie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Osoby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posiadające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mały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budżet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ale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chcący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wygodny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sposób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pojechać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Polski na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pewno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będą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wybierać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usługi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Flixbusa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ponieważ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bilety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są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dostępne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od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20 EUR,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do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Gdańska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można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5FD2">
        <w:rPr>
          <w:rStyle w:val="normaltextrun"/>
          <w:rFonts w:asciiTheme="minorHAnsi" w:hAnsiTheme="minorHAnsi" w:cstheme="minorHAnsi"/>
          <w:sz w:val="22"/>
          <w:szCs w:val="22"/>
        </w:rPr>
        <w:t>już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5FD2">
        <w:rPr>
          <w:rStyle w:val="normaltextrun"/>
          <w:rFonts w:asciiTheme="minorHAnsi" w:hAnsiTheme="minorHAnsi" w:cstheme="minorHAnsi"/>
          <w:sz w:val="22"/>
          <w:szCs w:val="22"/>
        </w:rPr>
        <w:t>d</w:t>
      </w:r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ojechać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za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34 EUR.</w:t>
      </w:r>
    </w:p>
    <w:p w14:paraId="6F8E5483" w14:textId="77777777" w:rsidR="003E6B11" w:rsidRPr="003E6B11" w:rsidRDefault="003E6B11" w:rsidP="003E6B1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Pełna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 lista </w:t>
      </w:r>
      <w:proofErr w:type="spellStart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>połączeń</w:t>
      </w:r>
      <w:proofErr w:type="spellEnd"/>
      <w:r w:rsidRPr="003E6B11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1" w:tgtFrame="_blank" w:history="1">
        <w:r w:rsidRPr="003E6B11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https://www.flixbus.hu/busz/lengyelorszag</w:t>
        </w:r>
      </w:hyperlink>
      <w:r w:rsidRPr="003E6B1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4D0C51" w14:textId="77777777" w:rsidR="003E6B11" w:rsidRPr="003E6B11" w:rsidRDefault="003E6B11" w:rsidP="003E6B1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B0D93E" w14:textId="35F8CB22" w:rsidR="003E6B11" w:rsidRPr="003E6B11" w:rsidRDefault="003E6B11" w:rsidP="003E6B1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3E6B11"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Samochodowe</w:t>
      </w:r>
      <w:proofErr w:type="spellEnd"/>
    </w:p>
    <w:p w14:paraId="08357D9F" w14:textId="1D6DB19D" w:rsidR="003E6B11" w:rsidRDefault="003E6B11" w:rsidP="003E6B11">
      <w:pPr>
        <w:pStyle w:val="Akapitzlist1"/>
        <w:spacing w:line="360" w:lineRule="auto"/>
        <w:ind w:left="0" w:firstLine="708"/>
        <w:jc w:val="both"/>
        <w:rPr>
          <w:rStyle w:val="eop"/>
          <w:rFonts w:asciiTheme="minorHAnsi" w:hAnsiTheme="minorHAnsi" w:cstheme="minorHAnsi"/>
          <w:color w:val="000000" w:themeColor="text1"/>
        </w:rPr>
      </w:pPr>
      <w:r w:rsidRPr="003E6B11">
        <w:rPr>
          <w:rStyle w:val="eop"/>
          <w:rFonts w:asciiTheme="minorHAnsi" w:hAnsiTheme="minorHAnsi" w:cstheme="minorHAnsi"/>
          <w:color w:val="000000" w:themeColor="text1"/>
        </w:rPr>
        <w:t xml:space="preserve">Południowe regiony Polski i najpopularniejsze miejsca w Małopolsce jak Zakopane, Kraków, Wieliczka czy Oświęcim są najczęściej odwiedzane indywidualnie </w:t>
      </w:r>
      <w:r w:rsidR="00BD5FD2">
        <w:rPr>
          <w:rStyle w:val="eop"/>
          <w:rFonts w:asciiTheme="minorHAnsi" w:hAnsiTheme="minorHAnsi" w:cstheme="minorHAnsi"/>
          <w:color w:val="000000" w:themeColor="text1"/>
        </w:rPr>
        <w:t xml:space="preserve">przez turystów podróżujących </w:t>
      </w:r>
      <w:r w:rsidRPr="003E6B11">
        <w:rPr>
          <w:rStyle w:val="eop"/>
          <w:rFonts w:asciiTheme="minorHAnsi" w:hAnsiTheme="minorHAnsi" w:cstheme="minorHAnsi"/>
          <w:color w:val="000000" w:themeColor="text1"/>
        </w:rPr>
        <w:t xml:space="preserve"> samochod</w:t>
      </w:r>
      <w:r w:rsidR="00BD5FD2">
        <w:rPr>
          <w:rStyle w:val="eop"/>
          <w:rFonts w:asciiTheme="minorHAnsi" w:hAnsiTheme="minorHAnsi" w:cstheme="minorHAnsi"/>
          <w:color w:val="000000" w:themeColor="text1"/>
        </w:rPr>
        <w:t>em</w:t>
      </w:r>
      <w:r w:rsidRPr="003E6B11">
        <w:rPr>
          <w:rStyle w:val="eop"/>
          <w:rFonts w:asciiTheme="minorHAnsi" w:hAnsiTheme="minorHAnsi" w:cstheme="minorHAnsi"/>
          <w:color w:val="000000" w:themeColor="text1"/>
        </w:rPr>
        <w:t xml:space="preserve">. Z Budapesztu do Zakopanego przez Słowację i Tatry można dojechać w </w:t>
      </w:r>
      <w:r>
        <w:rPr>
          <w:rStyle w:val="eop"/>
          <w:rFonts w:asciiTheme="minorHAnsi" w:hAnsiTheme="minorHAnsi" w:cstheme="minorHAnsi"/>
          <w:color w:val="000000" w:themeColor="text1"/>
        </w:rPr>
        <w:t>4,5</w:t>
      </w:r>
      <w:r w:rsidRPr="003E6B11">
        <w:rPr>
          <w:rStyle w:val="eop"/>
          <w:rFonts w:asciiTheme="minorHAnsi" w:hAnsiTheme="minorHAnsi" w:cstheme="minorHAnsi"/>
          <w:color w:val="000000" w:themeColor="text1"/>
        </w:rPr>
        <w:t xml:space="preserve">-5 godzin, a do Krakowa ok 7-8 godzin. </w:t>
      </w:r>
      <w:r w:rsidR="005661F3" w:rsidRPr="005661F3">
        <w:rPr>
          <w:rStyle w:val="eop"/>
          <w:rFonts w:asciiTheme="minorHAnsi" w:hAnsiTheme="minorHAnsi" w:cstheme="minorHAnsi"/>
          <w:color w:val="000000" w:themeColor="text1"/>
        </w:rPr>
        <w:t xml:space="preserve">Mieszkańcy wschodnich regionów Węgier, takich jak Miszkolc czy </w:t>
      </w:r>
      <w:proofErr w:type="spellStart"/>
      <w:r w:rsidR="005661F3" w:rsidRPr="005661F3">
        <w:rPr>
          <w:rStyle w:val="eop"/>
          <w:rFonts w:asciiTheme="minorHAnsi" w:hAnsiTheme="minorHAnsi" w:cstheme="minorHAnsi"/>
          <w:color w:val="000000" w:themeColor="text1"/>
        </w:rPr>
        <w:t>Nyíregyháza</w:t>
      </w:r>
      <w:proofErr w:type="spellEnd"/>
      <w:r w:rsidR="005661F3" w:rsidRPr="005661F3">
        <w:rPr>
          <w:rStyle w:val="eop"/>
          <w:rFonts w:asciiTheme="minorHAnsi" w:hAnsiTheme="minorHAnsi" w:cstheme="minorHAnsi"/>
          <w:color w:val="000000" w:themeColor="text1"/>
        </w:rPr>
        <w:t>, często odwiedzają Małopolskę, doceniając szybki dojazd na południowe tereny Polski.</w:t>
      </w:r>
      <w:r w:rsidRPr="003E6B11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</w:p>
    <w:p w14:paraId="3681838D" w14:textId="3B5966EB" w:rsidR="003E6B11" w:rsidRPr="003E6B11" w:rsidRDefault="003E6B11" w:rsidP="003E6B11">
      <w:pPr>
        <w:spacing w:after="0" w:line="240" w:lineRule="auto"/>
        <w:rPr>
          <w:rStyle w:val="eop"/>
          <w:rFonts w:asciiTheme="minorHAnsi" w:hAnsiTheme="minorHAnsi" w:cstheme="minorHAnsi"/>
          <w:color w:val="000000" w:themeColor="text1"/>
        </w:rPr>
      </w:pPr>
    </w:p>
    <w:bookmarkEnd w:id="4"/>
    <w:bookmarkEnd w:id="5"/>
    <w:p w14:paraId="214F531F" w14:textId="65183F30" w:rsidR="00206C1E" w:rsidRPr="00283747" w:rsidRDefault="003E6B11" w:rsidP="003E6B11">
      <w:pPr>
        <w:pStyle w:val="BZ-rozdzia"/>
      </w:pPr>
      <w:r>
        <w:t>4. Mierniki działań promocyjnych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368"/>
        <w:gridCol w:w="582"/>
        <w:gridCol w:w="567"/>
        <w:gridCol w:w="567"/>
        <w:gridCol w:w="680"/>
      </w:tblGrid>
      <w:tr w:rsidR="00A5776D" w:rsidRPr="00283747" w14:paraId="28E1028D" w14:textId="77777777" w:rsidTr="003E6B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283747" w:rsidRDefault="00490FBF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6" w:name="_Hlk29556532"/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636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283747" w:rsidRDefault="00490FBF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283747" w:rsidRDefault="00490FBF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6A6238D1" w14:textId="3F3A3704" w:rsidR="00490FBF" w:rsidRPr="00283747" w:rsidRDefault="00D65A87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B65654"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685D3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283747" w:rsidRDefault="00490FBF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5BCB7F57" w14:textId="142F5E03" w:rsidR="00490FBF" w:rsidRPr="00283747" w:rsidRDefault="00D65A87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B65654"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685D3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A5776D" w:rsidRPr="00283747" w14:paraId="6C112148" w14:textId="77777777" w:rsidTr="005B1E10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9BCF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54411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Podróże </w:t>
            </w:r>
            <w:r w:rsidRPr="005B1E10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prasowe i studyjne</w:t>
            </w:r>
          </w:p>
        </w:tc>
      </w:tr>
      <w:tr w:rsidR="00A5776D" w:rsidRPr="00283747" w14:paraId="1D0FA4D6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B094" w14:textId="77777777" w:rsidR="00A5776D" w:rsidRPr="00283747" w:rsidRDefault="00A5776D" w:rsidP="009B5A36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283747" w:rsidRDefault="00E04994" w:rsidP="00E47D0A">
            <w:pPr>
              <w:spacing w:after="0"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="00A5776D" w:rsidRPr="00283747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6F9EF3F3" w:rsidR="00A5776D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1F30BEDF" w:rsidR="00A5776D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16</w:t>
            </w:r>
          </w:p>
        </w:tc>
      </w:tr>
      <w:tr w:rsidR="00A5776D" w:rsidRPr="00283747" w14:paraId="091735A8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8FC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283747" w:rsidRDefault="00E04994" w:rsidP="00E47D0A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19213E7E" w:rsidR="00A5776D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2C1722B1" w:rsidR="00A5776D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</w:tr>
      <w:tr w:rsidR="00A5776D" w:rsidRPr="00283747" w14:paraId="73217482" w14:textId="77777777" w:rsidTr="003E6B11">
        <w:trPr>
          <w:trHeight w:val="416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E96" w14:textId="77777777" w:rsidR="00A5776D" w:rsidRPr="00283747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283747" w:rsidRDefault="00E04994" w:rsidP="00E47D0A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</w:t>
            </w:r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iczba </w:t>
            </w:r>
            <w:proofErr w:type="spellStart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blogerów</w:t>
            </w:r>
            <w:proofErr w:type="spellEnd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influencerów</w:t>
            </w:r>
            <w:proofErr w:type="spellEnd"/>
            <w:r w:rsidR="00A5776D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lub innych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2B672C8F" w:rsidR="00A5776D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5D998EA4" w:rsidR="00A5776D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</w:tr>
      <w:tr w:rsidR="00E04994" w:rsidRPr="00283747" w14:paraId="37D97EBB" w14:textId="77777777" w:rsidTr="00837CB3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8C3F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  <w:p w14:paraId="693431D0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7EC1B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E04994" w:rsidRPr="00283747" w14:paraId="1F40791A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AB3E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9DAC11C" w:rsidR="00E04994" w:rsidRPr="00283747" w:rsidRDefault="00E04994" w:rsidP="00D65A8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Liczba touroperatorów z rynku działania ZOPOT, którzy posiadają w </w:t>
            </w:r>
            <w:r w:rsidR="00D65A87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swojej ofercie Polskę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55F332E4" w:rsidR="00E04994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3C02717C" w:rsidR="00E04994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92</w:t>
            </w:r>
          </w:p>
        </w:tc>
      </w:tr>
      <w:tr w:rsidR="00E04994" w:rsidRPr="00283747" w14:paraId="60FEE846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9D23" w14:textId="77777777" w:rsidR="00E04994" w:rsidRPr="00283747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C62B72D" w:rsidR="00E04994" w:rsidRPr="00283747" w:rsidRDefault="00E04994" w:rsidP="00D65A8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Liczba touroperatorów z rynku działania ZOPOT, którzy                         wprowadzili do swo</w:t>
            </w:r>
            <w:r w:rsidR="00D65A87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jej oferty Polskę 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17C84E07" w:rsidR="00E04994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brak danych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44C87E6F" w:rsidR="00E04994" w:rsidRPr="00283747" w:rsidRDefault="003E6B11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0170B6" w:rsidRPr="00283747" w14:paraId="6613BAD7" w14:textId="77777777" w:rsidTr="003E6B11">
        <w:trPr>
          <w:trHeight w:val="30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305B" w14:textId="77777777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  <w:tcBorders>
              <w:left w:val="single" w:sz="4" w:space="0" w:color="auto"/>
            </w:tcBorders>
          </w:tcPr>
          <w:p w14:paraId="4FE1C8EE" w14:textId="11C9CE8B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Liczba przedstawicieli zagranicznych/polskich touroperatorów uczestniczących w warsztatach turystycznych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23E6434E" w14:textId="1AE5D380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0CFF1" w14:textId="7DEF8ED1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1262AC4" w14:textId="6A46E667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0436F5A" w14:textId="3D01EEA3" w:rsidR="000170B6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</w:tr>
      <w:tr w:rsidR="000170B6" w:rsidRPr="00283747" w14:paraId="01EABBD4" w14:textId="77777777" w:rsidTr="003E6B11">
        <w:trPr>
          <w:trHeight w:val="4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45B6" w14:textId="77777777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/>
            <w:tcBorders>
              <w:left w:val="single" w:sz="4" w:space="0" w:color="auto"/>
            </w:tcBorders>
          </w:tcPr>
          <w:p w14:paraId="7BDA1408" w14:textId="77777777" w:rsidR="000170B6" w:rsidRPr="00283747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83F6A98" w14:textId="61C2F689" w:rsidR="000170B6" w:rsidRPr="00283747" w:rsidRDefault="003E6B11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3E93471" w14:textId="0F78C54E" w:rsidR="000170B6" w:rsidRPr="00283747" w:rsidRDefault="003E6B11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48DAA32" w14:textId="5F649A0C" w:rsidR="000170B6" w:rsidRPr="00283747" w:rsidRDefault="003E6B11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9C6FD29" w14:textId="3176A90F" w:rsidR="000170B6" w:rsidRPr="00283747" w:rsidRDefault="003E6B11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2E0750" w:rsidRPr="00283747" w14:paraId="049D7C3D" w14:textId="77777777" w:rsidTr="003E6B11">
        <w:trPr>
          <w:trHeight w:val="2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18E2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  <w:tcBorders>
              <w:left w:val="single" w:sz="4" w:space="0" w:color="auto"/>
            </w:tcBorders>
          </w:tcPr>
          <w:p w14:paraId="447D6154" w14:textId="5EA8609C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Liczba zorganizowanych</w:t>
            </w:r>
            <w:r w:rsidR="00685D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prezentacji dla przedstawicieli branży</w:t>
            </w:r>
            <w:r w:rsidR="000170B6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oraz liczba </w:t>
            </w:r>
            <w:r w:rsidR="00685D3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ich </w:t>
            </w:r>
            <w:r w:rsidR="000170B6"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uczestników</w:t>
            </w: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650ED072" w:rsidR="002E0750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045F9942" w:rsidR="002E0750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62872568" w:rsidR="002E0750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5B2FBF7" w:rsidR="002E0750" w:rsidRPr="00283747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</w:tr>
      <w:tr w:rsidR="002E0750" w:rsidRPr="00283747" w14:paraId="578F6FD1" w14:textId="77777777" w:rsidTr="003E6B11">
        <w:trPr>
          <w:trHeight w:val="33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8E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3040711A" w:rsidR="006E1F68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30818A38" w:rsidR="002E0750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47771E2B" w:rsidR="002E0750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16006704" w:rsidR="003E6B11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170</w:t>
            </w:r>
          </w:p>
        </w:tc>
      </w:tr>
      <w:tr w:rsidR="002E0750" w:rsidRPr="00283747" w14:paraId="413CFE3E" w14:textId="77777777" w:rsidTr="00837CB3">
        <w:trPr>
          <w:trHeight w:val="1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8E33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91C3D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Liczba adresów w bazie </w:t>
            </w:r>
            <w:proofErr w:type="spellStart"/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newslettera</w:t>
            </w:r>
            <w:proofErr w:type="spellEnd"/>
          </w:p>
        </w:tc>
      </w:tr>
      <w:tr w:rsidR="002E0750" w:rsidRPr="00283747" w14:paraId="092A049E" w14:textId="77777777" w:rsidTr="003E6B11">
        <w:trPr>
          <w:trHeight w:val="29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5F33" w14:textId="77777777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2FEC8C09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system </w:t>
            </w:r>
            <w:proofErr w:type="spellStart"/>
            <w:r w:rsidR="00B8076C">
              <w:rPr>
                <w:rFonts w:asciiTheme="minorHAnsi" w:eastAsia="Calibri" w:hAnsiTheme="min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425054C8" w:rsidR="002E0750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0898A729" w:rsidR="002E0750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nd</w:t>
            </w:r>
            <w:proofErr w:type="spellEnd"/>
          </w:p>
        </w:tc>
      </w:tr>
      <w:tr w:rsidR="002E0750" w:rsidRPr="00283747" w14:paraId="0374D362" w14:textId="77777777" w:rsidTr="003E6B11">
        <w:trPr>
          <w:trHeight w:val="26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43" w14:textId="77777777" w:rsidR="002E0750" w:rsidRPr="00283747" w:rsidRDefault="002E0750" w:rsidP="002E0750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142E7FDF" w:rsidR="002E0750" w:rsidRPr="00283747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inne niż </w:t>
            </w:r>
            <w:proofErr w:type="spellStart"/>
            <w:r w:rsidR="00B8076C">
              <w:rPr>
                <w:rFonts w:asciiTheme="minorHAnsi" w:eastAsia="Calibri" w:hAnsiTheme="min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5D9E828D" w:rsidR="002E0750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46D3C015" w:rsidR="002E0750" w:rsidRPr="00283747" w:rsidRDefault="003E6B11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nd</w:t>
            </w:r>
            <w:proofErr w:type="spellEnd"/>
          </w:p>
        </w:tc>
      </w:tr>
      <w:tr w:rsidR="005B1E10" w:rsidRPr="00283747" w14:paraId="5330E184" w14:textId="0D864089" w:rsidTr="003E6B11">
        <w:trPr>
          <w:trHeight w:val="2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55A2" w14:textId="15486E75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FA6C" w14:textId="623BDB29" w:rsidR="005B1E10" w:rsidRPr="005B1E10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3E75EC" w14:textId="74CCD5D3" w:rsidR="005B1E10" w:rsidRPr="005D17E4" w:rsidRDefault="005D17E4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hu-HU"/>
              </w:rPr>
              <w:t>0079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26684AF" w14:textId="50A8A914" w:rsidR="005B1E10" w:rsidRPr="005B1E10" w:rsidRDefault="003E6B11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153 </w:t>
            </w:r>
            <w:r w:rsidR="005D17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295</w:t>
            </w:r>
          </w:p>
        </w:tc>
      </w:tr>
      <w:tr w:rsidR="005B1E10" w:rsidRPr="00283747" w14:paraId="72D5595A" w14:textId="46850E01" w:rsidTr="00837CB3">
        <w:trPr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56C3" w14:textId="7A3296B1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71467" w14:textId="308411DD" w:rsidR="005B1E10" w:rsidRPr="005B1E10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1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</w:t>
            </w:r>
            <w:r w:rsidR="00837C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zasięgi</w:t>
            </w:r>
          </w:p>
        </w:tc>
      </w:tr>
      <w:tr w:rsidR="005B1E10" w:rsidRPr="00283747" w14:paraId="6E3437A4" w14:textId="77777777" w:rsidTr="003E6B11">
        <w:trPr>
          <w:trHeight w:val="31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B652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Facebook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6893FA7C" w:rsidR="005B1E10" w:rsidRPr="00283747" w:rsidRDefault="003E6B11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49,5 tys.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4B564802" w:rsidR="005B1E10" w:rsidRPr="00283747" w:rsidRDefault="003E6B11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701,4 tys.</w:t>
            </w:r>
          </w:p>
        </w:tc>
      </w:tr>
      <w:tr w:rsidR="005B1E10" w:rsidRPr="00283747" w14:paraId="2F6C161C" w14:textId="77777777" w:rsidTr="003E6B11">
        <w:trPr>
          <w:trHeight w:val="22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92D3" w14:textId="77777777" w:rsidR="005B1E10" w:rsidRPr="00283747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Instagram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0B4218E6" w14:textId="77777777" w:rsidTr="003E6B11">
        <w:trPr>
          <w:trHeight w:val="35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45AE" w14:textId="77777777" w:rsidR="005B1E10" w:rsidRPr="00283747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6F6FB777" w14:textId="77777777" w:rsidTr="003E6B11">
        <w:trPr>
          <w:trHeight w:val="26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E3A2" w14:textId="77777777" w:rsidR="005B1E10" w:rsidRPr="00283747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77777777" w:rsidR="005B1E10" w:rsidRPr="00283747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5134EDDB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C053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27A9" w14:textId="077AAD45" w:rsidR="005B1E10" w:rsidRPr="00283747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B1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l</w:t>
            </w:r>
            <w:r w:rsidR="005B1E10" w:rsidRPr="002837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iczba osób, które to lubią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B973BC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199B802" w14:textId="77777777" w:rsidR="005B1E10" w:rsidRPr="00283747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38FB0604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AFB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D310" w14:textId="75B1B4CD" w:rsidR="005B1E10" w:rsidRPr="005B1E10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B1E1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Facebook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A0D007" w14:textId="5D238061" w:rsidR="005B1E10" w:rsidRPr="00283747" w:rsidRDefault="003E6B11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12,1 tys.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C594D65" w14:textId="04295251" w:rsidR="005B1E10" w:rsidRPr="00283747" w:rsidRDefault="003E6B11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14 tys.</w:t>
            </w:r>
          </w:p>
        </w:tc>
      </w:tr>
      <w:tr w:rsidR="005B1E10" w:rsidRPr="00283747" w14:paraId="2EEFD961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5A92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D514F" w14:textId="347F6B6B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</w:t>
            </w:r>
            <w:r w:rsidRPr="005B1E1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nstagram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24F502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D7EEC6" w14:textId="77777777" w:rsidR="005B1E10" w:rsidRPr="00283747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7CA00684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1A5A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F39D" w14:textId="4F04497F" w:rsidR="005B1E10" w:rsidRPr="00283747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E7D73B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38BC63" w14:textId="77777777" w:rsidR="005B1E10" w:rsidRPr="00283747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708BA03B" w14:textId="77777777" w:rsidTr="003E6B11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D103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4446" w14:textId="20AF7DD2" w:rsidR="005B1E10" w:rsidRPr="00283747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A5DF49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73D3A8" w14:textId="77777777" w:rsidR="005B1E10" w:rsidRPr="00283747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B1E10" w:rsidRPr="00283747" w14:paraId="2AFC843D" w14:textId="77777777" w:rsidTr="003E6B11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7A7F1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7BFDA045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Wartość artykułów (w tym w mediach elektronicznych) i audycji radiowych i telewizyjnych </w:t>
            </w: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lastRenderedPageBreak/>
              <w:t>publikowanych/emitowanych</w:t>
            </w:r>
            <w:r w:rsidR="00240A4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</w:t>
            </w: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liczona według ceny reklamy w </w:t>
            </w:r>
            <w:r w:rsidR="00240A4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walucie właściwej dla rynku działania ZOPOT, </w:t>
            </w:r>
            <w:r w:rsidRPr="0028374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 tym: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2F62288E" w:rsidR="005B1E10" w:rsidRPr="00283747" w:rsidRDefault="003E6B11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29000000 HUF</w:t>
            </w:r>
          </w:p>
        </w:tc>
      </w:tr>
      <w:tr w:rsidR="005B1E10" w:rsidRPr="00283747" w14:paraId="7CB1406F" w14:textId="77777777" w:rsidTr="003E6B11">
        <w:trPr>
          <w:trHeight w:val="41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469CFD5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012D4A7B" w:rsidR="005B1E10" w:rsidRPr="00B8076C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601924" w14:textId="15EF1E7E" w:rsidR="005B1E10" w:rsidRPr="00283747" w:rsidRDefault="003E6B11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9000000 HUF</w:t>
            </w:r>
          </w:p>
        </w:tc>
      </w:tr>
      <w:tr w:rsidR="005B1E10" w:rsidRPr="00283747" w14:paraId="3A9DE64B" w14:textId="77777777" w:rsidTr="003E6B11">
        <w:trPr>
          <w:trHeight w:val="649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701D1AB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0BB0BFEB" w:rsidR="005B1E10" w:rsidRPr="00283747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hAnsiTheme="minorHAnsi" w:cstheme="minorHAnsi"/>
                <w:sz w:val="24"/>
                <w:szCs w:val="24"/>
              </w:rPr>
              <w:t>na skutek wszystkich działań PR Ośrodka, z wyłączeniem podróży prasowych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7292DAFD" w:rsidR="005B1E10" w:rsidRPr="00283747" w:rsidRDefault="003E6B11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20000000HUF</w:t>
            </w:r>
          </w:p>
        </w:tc>
      </w:tr>
      <w:tr w:rsidR="005B1E10" w:rsidRPr="00283747" w14:paraId="05222D3A" w14:textId="77777777" w:rsidTr="003E6B11">
        <w:trPr>
          <w:trHeight w:val="649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5698B0C6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8374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1A70DCBB" w:rsidR="005B1E10" w:rsidRPr="00837CB3" w:rsidRDefault="005B1E10" w:rsidP="005B1E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7C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Zasięg materiałów opublikowanych w Internecie  w efekcie podroży </w:t>
            </w:r>
            <w:proofErr w:type="spellStart"/>
            <w:r w:rsidRPr="00837C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77777777" w:rsidR="005B1E10" w:rsidRPr="00283747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bookmarkEnd w:id="6"/>
    </w:tbl>
    <w:p w14:paraId="4C9CE7C4" w14:textId="77777777" w:rsidR="00155C41" w:rsidRDefault="00155C41" w:rsidP="00DB11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4D1FD1" w14:textId="3A741A27" w:rsidR="00206C1E" w:rsidRPr="00283747" w:rsidRDefault="00206C1E" w:rsidP="00DB11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C67E6" w14:textId="716B4419" w:rsidR="000B5401" w:rsidRPr="00283747" w:rsidRDefault="00283747" w:rsidP="00685D34">
      <w:pPr>
        <w:pStyle w:val="BZ-rozdzia"/>
      </w:pPr>
      <w:bookmarkStart w:id="7" w:name="_Toc61350024"/>
      <w:r w:rsidRPr="00283747">
        <w:t>5</w:t>
      </w:r>
      <w:r w:rsidR="00AC2B5B" w:rsidRPr="00283747">
        <w:t xml:space="preserve">. </w:t>
      </w:r>
      <w:bookmarkStart w:id="8" w:name="_Toc61350027"/>
      <w:bookmarkEnd w:id="7"/>
      <w:r w:rsidR="000B5401" w:rsidRPr="00283747">
        <w:t>Załączniki</w:t>
      </w:r>
      <w:bookmarkEnd w:id="8"/>
    </w:p>
    <w:p w14:paraId="1F3AACD0" w14:textId="517764EF" w:rsidR="00766FAE" w:rsidRPr="00283747" w:rsidRDefault="00766FAE" w:rsidP="00F60814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color w:val="984806" w:themeColor="accent6" w:themeShade="80"/>
          <w:sz w:val="24"/>
          <w:szCs w:val="24"/>
        </w:rPr>
      </w:pPr>
    </w:p>
    <w:p w14:paraId="272DFFEB" w14:textId="08D25E89" w:rsidR="00490FBF" w:rsidRPr="00283747" w:rsidRDefault="00490FBF" w:rsidP="000170B6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color w:val="984806" w:themeColor="accent6" w:themeShade="80"/>
          <w:sz w:val="24"/>
          <w:szCs w:val="24"/>
        </w:rPr>
      </w:pPr>
      <w:r w:rsidRPr="00283747">
        <w:rPr>
          <w:rFonts w:asciiTheme="minorHAnsi" w:hAnsiTheme="minorHAnsi" w:cstheme="minorHAnsi"/>
          <w:sz w:val="24"/>
          <w:szCs w:val="24"/>
        </w:rPr>
        <w:t xml:space="preserve">Wykaz touroperatorów z rynku działania ZOPOT, którzy w </w:t>
      </w:r>
      <w:r w:rsidR="00593FC1" w:rsidRPr="00283747">
        <w:rPr>
          <w:rFonts w:asciiTheme="minorHAnsi" w:hAnsiTheme="minorHAnsi" w:cstheme="minorHAnsi"/>
          <w:sz w:val="24"/>
          <w:szCs w:val="24"/>
        </w:rPr>
        <w:t>202</w:t>
      </w:r>
      <w:r w:rsidR="000170B6" w:rsidRPr="00283747">
        <w:rPr>
          <w:rFonts w:asciiTheme="minorHAnsi" w:hAnsiTheme="minorHAnsi" w:cstheme="minorHAnsi"/>
          <w:sz w:val="24"/>
          <w:szCs w:val="24"/>
        </w:rPr>
        <w:t>4</w:t>
      </w:r>
      <w:r w:rsidRPr="00283747">
        <w:rPr>
          <w:rFonts w:asciiTheme="minorHAnsi" w:hAnsiTheme="minorHAnsi" w:cstheme="minorHAnsi"/>
          <w:sz w:val="24"/>
          <w:szCs w:val="24"/>
        </w:rPr>
        <w:t xml:space="preserve"> roku</w:t>
      </w:r>
      <w:r w:rsidR="003D61E4">
        <w:rPr>
          <w:rFonts w:asciiTheme="minorHAnsi" w:hAnsiTheme="minorHAnsi" w:cstheme="minorHAnsi"/>
          <w:sz w:val="24"/>
          <w:szCs w:val="24"/>
        </w:rPr>
        <w:t>,</w:t>
      </w:r>
      <w:r w:rsidRPr="00283747">
        <w:rPr>
          <w:rFonts w:asciiTheme="minorHAnsi" w:hAnsiTheme="minorHAnsi" w:cstheme="minorHAnsi"/>
          <w:sz w:val="24"/>
          <w:szCs w:val="24"/>
        </w:rPr>
        <w:t xml:space="preserve"> posiadali </w:t>
      </w:r>
      <w:r w:rsidR="00685D34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766FAE" w:rsidRPr="00283747">
        <w:rPr>
          <w:rFonts w:asciiTheme="minorHAnsi" w:hAnsiTheme="minorHAnsi" w:cstheme="minorHAnsi"/>
          <w:sz w:val="24"/>
          <w:szCs w:val="24"/>
        </w:rPr>
        <w:t xml:space="preserve"> </w:t>
      </w:r>
      <w:r w:rsidRPr="00283747">
        <w:rPr>
          <w:rFonts w:asciiTheme="minorHAnsi" w:hAnsiTheme="minorHAnsi" w:cstheme="minorHAnsi"/>
          <w:sz w:val="24"/>
          <w:szCs w:val="24"/>
        </w:rPr>
        <w:t xml:space="preserve">w </w:t>
      </w:r>
      <w:r w:rsidR="00593FC1" w:rsidRPr="00283747">
        <w:rPr>
          <w:rFonts w:asciiTheme="minorHAnsi" w:hAnsiTheme="minorHAnsi" w:cstheme="minorHAnsi"/>
          <w:sz w:val="24"/>
          <w:szCs w:val="24"/>
        </w:rPr>
        <w:t>ofercie Polskę</w:t>
      </w:r>
    </w:p>
    <w:p w14:paraId="2ABFA766" w14:textId="0B604F64" w:rsidR="00490FBF" w:rsidRPr="00283747" w:rsidRDefault="005D17E4" w:rsidP="00766FAE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color w:val="984806" w:themeColor="accent6" w:themeShade="80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Pressbook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</w:t>
      </w:r>
      <w:r w:rsidR="000170B6" w:rsidRPr="00283747">
        <w:rPr>
          <w:rFonts w:asciiTheme="minorHAnsi" w:hAnsiTheme="minorHAnsi" w:cstheme="minorHAnsi"/>
          <w:sz w:val="24"/>
          <w:szCs w:val="24"/>
        </w:rPr>
        <w:t xml:space="preserve"> najciekawszy</w:t>
      </w:r>
      <w:r>
        <w:rPr>
          <w:rFonts w:asciiTheme="minorHAnsi" w:hAnsiTheme="minorHAnsi" w:cstheme="minorHAnsi"/>
          <w:sz w:val="24"/>
          <w:szCs w:val="24"/>
        </w:rPr>
        <w:t xml:space="preserve">mi artykułami, publikacjami i imprezami, </w:t>
      </w:r>
      <w:r w:rsidR="00B8076C">
        <w:rPr>
          <w:rFonts w:asciiTheme="minorHAnsi" w:hAnsiTheme="minorHAnsi" w:cstheme="minorHAnsi"/>
          <w:sz w:val="24"/>
          <w:szCs w:val="24"/>
        </w:rPr>
        <w:t>które zrealizował ZOPOT</w:t>
      </w:r>
      <w:r>
        <w:rPr>
          <w:rFonts w:asciiTheme="minorHAnsi" w:hAnsiTheme="minorHAnsi" w:cstheme="minorHAnsi"/>
          <w:sz w:val="24"/>
          <w:szCs w:val="24"/>
        </w:rPr>
        <w:t xml:space="preserve"> Budapeszt</w:t>
      </w:r>
      <w:r w:rsidR="00B8076C">
        <w:rPr>
          <w:rFonts w:asciiTheme="minorHAnsi" w:hAnsiTheme="minorHAnsi" w:cstheme="minorHAnsi"/>
          <w:sz w:val="24"/>
          <w:szCs w:val="24"/>
        </w:rPr>
        <w:t xml:space="preserve"> </w:t>
      </w:r>
      <w:r w:rsidR="000170B6" w:rsidRPr="00283747">
        <w:rPr>
          <w:rFonts w:asciiTheme="minorHAnsi" w:hAnsiTheme="minorHAnsi" w:cstheme="minorHAnsi"/>
          <w:sz w:val="24"/>
          <w:szCs w:val="24"/>
        </w:rPr>
        <w:t>w 2024 roku</w:t>
      </w:r>
    </w:p>
    <w:p w14:paraId="1585C368" w14:textId="77777777" w:rsidR="00490FBF" w:rsidRPr="00283747" w:rsidRDefault="00490FBF" w:rsidP="00490FB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7A62DF8" w14:textId="77777777" w:rsidR="00490FBF" w:rsidRPr="00283747" w:rsidRDefault="00490FBF" w:rsidP="00490FB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D3E5DFB" w14:textId="77777777" w:rsidR="0011249D" w:rsidRPr="00283747" w:rsidRDefault="0011249D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A84CAF" w14:textId="77777777" w:rsidR="0011249D" w:rsidRPr="00283747" w:rsidRDefault="0011249D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F92C200" w14:textId="77777777" w:rsidR="0011249D" w:rsidRPr="00283747" w:rsidRDefault="0011249D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11249D" w:rsidRPr="00283747" w:rsidSect="00997C3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7143" w14:textId="77777777" w:rsidR="00346567" w:rsidRDefault="00346567" w:rsidP="002E442A">
      <w:pPr>
        <w:spacing w:after="0" w:line="240" w:lineRule="auto"/>
      </w:pPr>
      <w:r>
        <w:separator/>
      </w:r>
    </w:p>
  </w:endnote>
  <w:endnote w:type="continuationSeparator" w:id="0">
    <w:p w14:paraId="3D19C2DE" w14:textId="77777777" w:rsidR="00346567" w:rsidRDefault="00346567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5992" w14:textId="77777777" w:rsidR="00346567" w:rsidRDefault="00346567" w:rsidP="002E442A">
      <w:pPr>
        <w:spacing w:after="0" w:line="240" w:lineRule="auto"/>
      </w:pPr>
      <w:r>
        <w:separator/>
      </w:r>
    </w:p>
  </w:footnote>
  <w:footnote w:type="continuationSeparator" w:id="0">
    <w:p w14:paraId="2279133B" w14:textId="77777777" w:rsidR="00346567" w:rsidRDefault="00346567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09204EBC"/>
    <w:multiLevelType w:val="multilevel"/>
    <w:tmpl w:val="99D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C294D"/>
    <w:multiLevelType w:val="hybridMultilevel"/>
    <w:tmpl w:val="47A4CAA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2612C"/>
    <w:multiLevelType w:val="hybridMultilevel"/>
    <w:tmpl w:val="9EFEE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6A8"/>
    <w:multiLevelType w:val="hybridMultilevel"/>
    <w:tmpl w:val="F84C3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819"/>
    <w:multiLevelType w:val="multilevel"/>
    <w:tmpl w:val="47A60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0C01B7"/>
    <w:multiLevelType w:val="multilevel"/>
    <w:tmpl w:val="14EABA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2603"/>
    <w:multiLevelType w:val="hybridMultilevel"/>
    <w:tmpl w:val="F34A1C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442B"/>
    <w:multiLevelType w:val="multilevel"/>
    <w:tmpl w:val="ADC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209AA"/>
    <w:multiLevelType w:val="multilevel"/>
    <w:tmpl w:val="F5FE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3F4853"/>
    <w:multiLevelType w:val="multilevel"/>
    <w:tmpl w:val="D2C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85543"/>
    <w:multiLevelType w:val="hybridMultilevel"/>
    <w:tmpl w:val="813C3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8E62CD"/>
    <w:multiLevelType w:val="hybridMultilevel"/>
    <w:tmpl w:val="39D4F9C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3"/>
  </w:num>
  <w:num w:numId="2" w16cid:durableId="132600907">
    <w:abstractNumId w:val="23"/>
  </w:num>
  <w:num w:numId="3" w16cid:durableId="1250773266">
    <w:abstractNumId w:val="22"/>
  </w:num>
  <w:num w:numId="4" w16cid:durableId="2142267523">
    <w:abstractNumId w:val="13"/>
  </w:num>
  <w:num w:numId="5" w16cid:durableId="2103332450">
    <w:abstractNumId w:val="27"/>
  </w:num>
  <w:num w:numId="6" w16cid:durableId="1292398123">
    <w:abstractNumId w:val="18"/>
  </w:num>
  <w:num w:numId="7" w16cid:durableId="9478104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11"/>
  </w:num>
  <w:num w:numId="9" w16cid:durableId="1183322218">
    <w:abstractNumId w:val="19"/>
  </w:num>
  <w:num w:numId="10" w16cid:durableId="1198742792">
    <w:abstractNumId w:val="15"/>
  </w:num>
  <w:num w:numId="11" w16cid:durableId="1407605762">
    <w:abstractNumId w:val="4"/>
  </w:num>
  <w:num w:numId="12" w16cid:durableId="251397611">
    <w:abstractNumId w:val="24"/>
  </w:num>
  <w:num w:numId="13" w16cid:durableId="1794984589">
    <w:abstractNumId w:val="16"/>
  </w:num>
  <w:num w:numId="14" w16cid:durableId="1466390324">
    <w:abstractNumId w:val="2"/>
  </w:num>
  <w:num w:numId="15" w16cid:durableId="675962753">
    <w:abstractNumId w:val="6"/>
  </w:num>
  <w:num w:numId="16" w16cid:durableId="1482769075">
    <w:abstractNumId w:val="14"/>
  </w:num>
  <w:num w:numId="17" w16cid:durableId="1034428149">
    <w:abstractNumId w:val="1"/>
  </w:num>
  <w:num w:numId="18" w16cid:durableId="1892115153">
    <w:abstractNumId w:val="20"/>
  </w:num>
  <w:num w:numId="19" w16cid:durableId="1440486060">
    <w:abstractNumId w:val="17"/>
  </w:num>
  <w:num w:numId="20" w16cid:durableId="720252741">
    <w:abstractNumId w:val="5"/>
  </w:num>
  <w:num w:numId="21" w16cid:durableId="837961519">
    <w:abstractNumId w:val="12"/>
  </w:num>
  <w:num w:numId="22" w16cid:durableId="993529858">
    <w:abstractNumId w:val="7"/>
  </w:num>
  <w:num w:numId="23" w16cid:durableId="1037894277">
    <w:abstractNumId w:val="25"/>
  </w:num>
  <w:num w:numId="24" w16cid:durableId="1538079824">
    <w:abstractNumId w:val="8"/>
  </w:num>
  <w:num w:numId="25" w16cid:durableId="12728329">
    <w:abstractNumId w:val="10"/>
  </w:num>
  <w:num w:numId="26" w16cid:durableId="1300839961">
    <w:abstractNumId w:val="9"/>
  </w:num>
  <w:num w:numId="27" w16cid:durableId="182238579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BEC"/>
    <w:rsid w:val="00007DCF"/>
    <w:rsid w:val="000100F5"/>
    <w:rsid w:val="00014AB0"/>
    <w:rsid w:val="00014B09"/>
    <w:rsid w:val="000154E0"/>
    <w:rsid w:val="00016F91"/>
    <w:rsid w:val="00017083"/>
    <w:rsid w:val="000170B6"/>
    <w:rsid w:val="00017BD5"/>
    <w:rsid w:val="00024153"/>
    <w:rsid w:val="0002428C"/>
    <w:rsid w:val="0002647D"/>
    <w:rsid w:val="00026B4B"/>
    <w:rsid w:val="00027837"/>
    <w:rsid w:val="000322C5"/>
    <w:rsid w:val="00033241"/>
    <w:rsid w:val="00033D5F"/>
    <w:rsid w:val="00033DAF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47AF7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A2543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19D0"/>
    <w:rsid w:val="0011249D"/>
    <w:rsid w:val="00112C5F"/>
    <w:rsid w:val="00112EC4"/>
    <w:rsid w:val="001179A0"/>
    <w:rsid w:val="001231C4"/>
    <w:rsid w:val="0012471B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8F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C41"/>
    <w:rsid w:val="00155D25"/>
    <w:rsid w:val="00155FFF"/>
    <w:rsid w:val="00156190"/>
    <w:rsid w:val="00161679"/>
    <w:rsid w:val="0016246F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511"/>
    <w:rsid w:val="00177C83"/>
    <w:rsid w:val="00180FFC"/>
    <w:rsid w:val="00181558"/>
    <w:rsid w:val="0018259F"/>
    <w:rsid w:val="00183AB6"/>
    <w:rsid w:val="00187170"/>
    <w:rsid w:val="00187BAD"/>
    <w:rsid w:val="00191C12"/>
    <w:rsid w:val="0019327E"/>
    <w:rsid w:val="0019560D"/>
    <w:rsid w:val="00196DEE"/>
    <w:rsid w:val="001972DE"/>
    <w:rsid w:val="001A048F"/>
    <w:rsid w:val="001A0C16"/>
    <w:rsid w:val="001A19C6"/>
    <w:rsid w:val="001A4AD3"/>
    <w:rsid w:val="001A4D3E"/>
    <w:rsid w:val="001A62C2"/>
    <w:rsid w:val="001A68AD"/>
    <w:rsid w:val="001A7379"/>
    <w:rsid w:val="001B2918"/>
    <w:rsid w:val="001B62A2"/>
    <w:rsid w:val="001B7866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33D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757B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29EB"/>
    <w:rsid w:val="00273151"/>
    <w:rsid w:val="00275211"/>
    <w:rsid w:val="00275AD6"/>
    <w:rsid w:val="00276E2E"/>
    <w:rsid w:val="00283747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30EA"/>
    <w:rsid w:val="002A375B"/>
    <w:rsid w:val="002A4692"/>
    <w:rsid w:val="002A4CE5"/>
    <w:rsid w:val="002A5768"/>
    <w:rsid w:val="002A6DDE"/>
    <w:rsid w:val="002A7BE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73B"/>
    <w:rsid w:val="002D5A7A"/>
    <w:rsid w:val="002D78BD"/>
    <w:rsid w:val="002D7E1B"/>
    <w:rsid w:val="002E0750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20AC1"/>
    <w:rsid w:val="00320CD0"/>
    <w:rsid w:val="0032138E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3DFB"/>
    <w:rsid w:val="0034608E"/>
    <w:rsid w:val="00346567"/>
    <w:rsid w:val="003526F0"/>
    <w:rsid w:val="00352B2F"/>
    <w:rsid w:val="0035403C"/>
    <w:rsid w:val="00355241"/>
    <w:rsid w:val="00355326"/>
    <w:rsid w:val="00355CC6"/>
    <w:rsid w:val="003627D1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CB7"/>
    <w:rsid w:val="003A0E53"/>
    <w:rsid w:val="003A2627"/>
    <w:rsid w:val="003A283F"/>
    <w:rsid w:val="003A3607"/>
    <w:rsid w:val="003A592D"/>
    <w:rsid w:val="003A6611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D0EDA"/>
    <w:rsid w:val="003D16C0"/>
    <w:rsid w:val="003D22B0"/>
    <w:rsid w:val="003D28E7"/>
    <w:rsid w:val="003D37F5"/>
    <w:rsid w:val="003D468A"/>
    <w:rsid w:val="003D499F"/>
    <w:rsid w:val="003D5C82"/>
    <w:rsid w:val="003D5D04"/>
    <w:rsid w:val="003D5EF8"/>
    <w:rsid w:val="003D61E4"/>
    <w:rsid w:val="003D7195"/>
    <w:rsid w:val="003D7B6A"/>
    <w:rsid w:val="003E107A"/>
    <w:rsid w:val="003E1BD9"/>
    <w:rsid w:val="003E2E36"/>
    <w:rsid w:val="003E32D6"/>
    <w:rsid w:val="003E3E17"/>
    <w:rsid w:val="003E6B11"/>
    <w:rsid w:val="003E7A10"/>
    <w:rsid w:val="003F1D61"/>
    <w:rsid w:val="003F395F"/>
    <w:rsid w:val="003F51FC"/>
    <w:rsid w:val="003F56BE"/>
    <w:rsid w:val="003F57AE"/>
    <w:rsid w:val="003F60A7"/>
    <w:rsid w:val="00400DF2"/>
    <w:rsid w:val="004013F9"/>
    <w:rsid w:val="004018F0"/>
    <w:rsid w:val="004028CD"/>
    <w:rsid w:val="00403283"/>
    <w:rsid w:val="00405F4E"/>
    <w:rsid w:val="00406186"/>
    <w:rsid w:val="00407B8E"/>
    <w:rsid w:val="00407FA3"/>
    <w:rsid w:val="0041168E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49A7"/>
    <w:rsid w:val="00434A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5713"/>
    <w:rsid w:val="00465EE4"/>
    <w:rsid w:val="00467006"/>
    <w:rsid w:val="004713CC"/>
    <w:rsid w:val="00473E9A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CF2"/>
    <w:rsid w:val="004B3E4F"/>
    <w:rsid w:val="004B4644"/>
    <w:rsid w:val="004B474C"/>
    <w:rsid w:val="004B71AF"/>
    <w:rsid w:val="004B7A49"/>
    <w:rsid w:val="004C057D"/>
    <w:rsid w:val="004C1DDF"/>
    <w:rsid w:val="004C3484"/>
    <w:rsid w:val="004C5F97"/>
    <w:rsid w:val="004D154A"/>
    <w:rsid w:val="004D35A9"/>
    <w:rsid w:val="004D3760"/>
    <w:rsid w:val="004D3C66"/>
    <w:rsid w:val="004D45ED"/>
    <w:rsid w:val="004D5CF7"/>
    <w:rsid w:val="004D63EE"/>
    <w:rsid w:val="004E0D59"/>
    <w:rsid w:val="004E22A0"/>
    <w:rsid w:val="004E3EA2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1130"/>
    <w:rsid w:val="0050248F"/>
    <w:rsid w:val="0050343A"/>
    <w:rsid w:val="00504A3A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2F4A"/>
    <w:rsid w:val="00535FD1"/>
    <w:rsid w:val="005361CF"/>
    <w:rsid w:val="00537D99"/>
    <w:rsid w:val="00537E9F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53A8"/>
    <w:rsid w:val="005661F3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6FC6"/>
    <w:rsid w:val="00587AC6"/>
    <w:rsid w:val="005904B2"/>
    <w:rsid w:val="00590897"/>
    <w:rsid w:val="00591B91"/>
    <w:rsid w:val="00591FC0"/>
    <w:rsid w:val="005930BA"/>
    <w:rsid w:val="00593FC1"/>
    <w:rsid w:val="00595656"/>
    <w:rsid w:val="005A43A3"/>
    <w:rsid w:val="005A62D6"/>
    <w:rsid w:val="005A7A63"/>
    <w:rsid w:val="005B1637"/>
    <w:rsid w:val="005B1815"/>
    <w:rsid w:val="005B1E10"/>
    <w:rsid w:val="005B1E1A"/>
    <w:rsid w:val="005B2391"/>
    <w:rsid w:val="005B391A"/>
    <w:rsid w:val="005B42D2"/>
    <w:rsid w:val="005B6C47"/>
    <w:rsid w:val="005B75A3"/>
    <w:rsid w:val="005B779D"/>
    <w:rsid w:val="005B7D7F"/>
    <w:rsid w:val="005C0E79"/>
    <w:rsid w:val="005C1480"/>
    <w:rsid w:val="005C3746"/>
    <w:rsid w:val="005C5FAF"/>
    <w:rsid w:val="005D0CB3"/>
    <w:rsid w:val="005D17E4"/>
    <w:rsid w:val="005D185E"/>
    <w:rsid w:val="005D18D7"/>
    <w:rsid w:val="005D5343"/>
    <w:rsid w:val="005E05EC"/>
    <w:rsid w:val="005E0AC4"/>
    <w:rsid w:val="005E0F8F"/>
    <w:rsid w:val="005E17C7"/>
    <w:rsid w:val="005E7938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0F97"/>
    <w:rsid w:val="006220E6"/>
    <w:rsid w:val="00622F55"/>
    <w:rsid w:val="00624284"/>
    <w:rsid w:val="006245C6"/>
    <w:rsid w:val="00624803"/>
    <w:rsid w:val="00626369"/>
    <w:rsid w:val="006268F6"/>
    <w:rsid w:val="0063128E"/>
    <w:rsid w:val="0063331B"/>
    <w:rsid w:val="00636A8D"/>
    <w:rsid w:val="00637E3B"/>
    <w:rsid w:val="006420C2"/>
    <w:rsid w:val="00642B29"/>
    <w:rsid w:val="00644150"/>
    <w:rsid w:val="006463E5"/>
    <w:rsid w:val="0064650B"/>
    <w:rsid w:val="006471FA"/>
    <w:rsid w:val="006473FC"/>
    <w:rsid w:val="00647E13"/>
    <w:rsid w:val="006506F2"/>
    <w:rsid w:val="006513B0"/>
    <w:rsid w:val="006533BF"/>
    <w:rsid w:val="006537FC"/>
    <w:rsid w:val="00653F53"/>
    <w:rsid w:val="0065490B"/>
    <w:rsid w:val="00655375"/>
    <w:rsid w:val="00656017"/>
    <w:rsid w:val="00664815"/>
    <w:rsid w:val="00665D0C"/>
    <w:rsid w:val="00666326"/>
    <w:rsid w:val="00667132"/>
    <w:rsid w:val="00670626"/>
    <w:rsid w:val="00671591"/>
    <w:rsid w:val="0067182E"/>
    <w:rsid w:val="00671EDE"/>
    <w:rsid w:val="00672FB0"/>
    <w:rsid w:val="0067365D"/>
    <w:rsid w:val="00673D70"/>
    <w:rsid w:val="006742AC"/>
    <w:rsid w:val="00676BF8"/>
    <w:rsid w:val="00677F4B"/>
    <w:rsid w:val="00682832"/>
    <w:rsid w:val="006839E0"/>
    <w:rsid w:val="00685D34"/>
    <w:rsid w:val="006872D1"/>
    <w:rsid w:val="0069047A"/>
    <w:rsid w:val="0069394A"/>
    <w:rsid w:val="00694C48"/>
    <w:rsid w:val="006A186F"/>
    <w:rsid w:val="006A3F3F"/>
    <w:rsid w:val="006A5547"/>
    <w:rsid w:val="006A6702"/>
    <w:rsid w:val="006A7EBE"/>
    <w:rsid w:val="006B07C4"/>
    <w:rsid w:val="006B0916"/>
    <w:rsid w:val="006B1CBC"/>
    <w:rsid w:val="006B350A"/>
    <w:rsid w:val="006B6AA6"/>
    <w:rsid w:val="006B6B03"/>
    <w:rsid w:val="006B76E2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E07F4"/>
    <w:rsid w:val="006E0DD2"/>
    <w:rsid w:val="006E1D27"/>
    <w:rsid w:val="006E1F68"/>
    <w:rsid w:val="006E344A"/>
    <w:rsid w:val="006E3593"/>
    <w:rsid w:val="006E3E0F"/>
    <w:rsid w:val="006E472D"/>
    <w:rsid w:val="006E70CA"/>
    <w:rsid w:val="006E7FD3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4052"/>
    <w:rsid w:val="007057EF"/>
    <w:rsid w:val="007058B3"/>
    <w:rsid w:val="00706FCD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6195"/>
    <w:rsid w:val="0072666F"/>
    <w:rsid w:val="00726BEB"/>
    <w:rsid w:val="007279E5"/>
    <w:rsid w:val="007279EB"/>
    <w:rsid w:val="0073290A"/>
    <w:rsid w:val="00734B8A"/>
    <w:rsid w:val="007372BA"/>
    <w:rsid w:val="0073774F"/>
    <w:rsid w:val="00740C5F"/>
    <w:rsid w:val="00740DCB"/>
    <w:rsid w:val="00741B08"/>
    <w:rsid w:val="00742405"/>
    <w:rsid w:val="00742C15"/>
    <w:rsid w:val="00745F8D"/>
    <w:rsid w:val="007472D2"/>
    <w:rsid w:val="00747956"/>
    <w:rsid w:val="00752234"/>
    <w:rsid w:val="00754677"/>
    <w:rsid w:val="0076173E"/>
    <w:rsid w:val="0076187B"/>
    <w:rsid w:val="00761C35"/>
    <w:rsid w:val="007620B9"/>
    <w:rsid w:val="00764EA9"/>
    <w:rsid w:val="007650D2"/>
    <w:rsid w:val="00766FAE"/>
    <w:rsid w:val="00766FBD"/>
    <w:rsid w:val="00770E10"/>
    <w:rsid w:val="00770E3B"/>
    <w:rsid w:val="00771B44"/>
    <w:rsid w:val="007779DC"/>
    <w:rsid w:val="00777E6D"/>
    <w:rsid w:val="007805DB"/>
    <w:rsid w:val="00781CFA"/>
    <w:rsid w:val="00782EA2"/>
    <w:rsid w:val="0078339A"/>
    <w:rsid w:val="00785191"/>
    <w:rsid w:val="00785F63"/>
    <w:rsid w:val="00787917"/>
    <w:rsid w:val="00790462"/>
    <w:rsid w:val="007905FE"/>
    <w:rsid w:val="00790C07"/>
    <w:rsid w:val="0079110E"/>
    <w:rsid w:val="00792314"/>
    <w:rsid w:val="00792B1E"/>
    <w:rsid w:val="0079354B"/>
    <w:rsid w:val="00794210"/>
    <w:rsid w:val="00794618"/>
    <w:rsid w:val="00794FDA"/>
    <w:rsid w:val="00796A4D"/>
    <w:rsid w:val="00796F72"/>
    <w:rsid w:val="007A1705"/>
    <w:rsid w:val="007A3934"/>
    <w:rsid w:val="007A40F1"/>
    <w:rsid w:val="007A5318"/>
    <w:rsid w:val="007A5747"/>
    <w:rsid w:val="007A63A0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47F6"/>
    <w:rsid w:val="007C594B"/>
    <w:rsid w:val="007C6B96"/>
    <w:rsid w:val="007C7AC8"/>
    <w:rsid w:val="007D05A7"/>
    <w:rsid w:val="007D1820"/>
    <w:rsid w:val="007D1BA5"/>
    <w:rsid w:val="007D27CF"/>
    <w:rsid w:val="007D4AD6"/>
    <w:rsid w:val="007D5397"/>
    <w:rsid w:val="007D5B78"/>
    <w:rsid w:val="007D7169"/>
    <w:rsid w:val="007E17C3"/>
    <w:rsid w:val="007E2302"/>
    <w:rsid w:val="007E30C5"/>
    <w:rsid w:val="007E60AD"/>
    <w:rsid w:val="007E6646"/>
    <w:rsid w:val="007E69C0"/>
    <w:rsid w:val="007F03AF"/>
    <w:rsid w:val="007F150C"/>
    <w:rsid w:val="007F15BB"/>
    <w:rsid w:val="007F1C43"/>
    <w:rsid w:val="007F1DA3"/>
    <w:rsid w:val="007F7B4C"/>
    <w:rsid w:val="008027B5"/>
    <w:rsid w:val="00802A5A"/>
    <w:rsid w:val="00803F8F"/>
    <w:rsid w:val="00804086"/>
    <w:rsid w:val="00804468"/>
    <w:rsid w:val="00804D00"/>
    <w:rsid w:val="0081187B"/>
    <w:rsid w:val="00811D2A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4287"/>
    <w:rsid w:val="0083623A"/>
    <w:rsid w:val="00836737"/>
    <w:rsid w:val="00837589"/>
    <w:rsid w:val="00837B42"/>
    <w:rsid w:val="00837CB3"/>
    <w:rsid w:val="0084031C"/>
    <w:rsid w:val="00842368"/>
    <w:rsid w:val="0084263E"/>
    <w:rsid w:val="00843085"/>
    <w:rsid w:val="008454A6"/>
    <w:rsid w:val="0084682A"/>
    <w:rsid w:val="00854424"/>
    <w:rsid w:val="00856B0F"/>
    <w:rsid w:val="008620C3"/>
    <w:rsid w:val="008628A5"/>
    <w:rsid w:val="00862C6D"/>
    <w:rsid w:val="008634E0"/>
    <w:rsid w:val="00865FAF"/>
    <w:rsid w:val="0086788D"/>
    <w:rsid w:val="00867F11"/>
    <w:rsid w:val="00867FC3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669"/>
    <w:rsid w:val="008927F5"/>
    <w:rsid w:val="0089283D"/>
    <w:rsid w:val="0089418F"/>
    <w:rsid w:val="00895119"/>
    <w:rsid w:val="00895C50"/>
    <w:rsid w:val="00896157"/>
    <w:rsid w:val="008965AE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A53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101A"/>
    <w:rsid w:val="008E4902"/>
    <w:rsid w:val="008E5ADC"/>
    <w:rsid w:val="008E60C3"/>
    <w:rsid w:val="008F02FD"/>
    <w:rsid w:val="008F0FE3"/>
    <w:rsid w:val="008F108C"/>
    <w:rsid w:val="008F1132"/>
    <w:rsid w:val="008F129C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7484"/>
    <w:rsid w:val="0092055D"/>
    <w:rsid w:val="00921815"/>
    <w:rsid w:val="00921E17"/>
    <w:rsid w:val="0092271D"/>
    <w:rsid w:val="009231FE"/>
    <w:rsid w:val="009239BB"/>
    <w:rsid w:val="0092451D"/>
    <w:rsid w:val="0092523E"/>
    <w:rsid w:val="00925A6A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4E63"/>
    <w:rsid w:val="0095753A"/>
    <w:rsid w:val="009575E8"/>
    <w:rsid w:val="00960769"/>
    <w:rsid w:val="00961EB0"/>
    <w:rsid w:val="0096301A"/>
    <w:rsid w:val="009630D7"/>
    <w:rsid w:val="009636F5"/>
    <w:rsid w:val="00965599"/>
    <w:rsid w:val="009673F3"/>
    <w:rsid w:val="0097024E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1CF"/>
    <w:rsid w:val="00A13D8F"/>
    <w:rsid w:val="00A145CC"/>
    <w:rsid w:val="00A16A58"/>
    <w:rsid w:val="00A209C1"/>
    <w:rsid w:val="00A21063"/>
    <w:rsid w:val="00A22816"/>
    <w:rsid w:val="00A246C8"/>
    <w:rsid w:val="00A24FEE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0B57"/>
    <w:rsid w:val="00A43CC4"/>
    <w:rsid w:val="00A43FB7"/>
    <w:rsid w:val="00A44C6A"/>
    <w:rsid w:val="00A45738"/>
    <w:rsid w:val="00A45B7E"/>
    <w:rsid w:val="00A50DC9"/>
    <w:rsid w:val="00A53FF2"/>
    <w:rsid w:val="00A54DE6"/>
    <w:rsid w:val="00A5545E"/>
    <w:rsid w:val="00A55C16"/>
    <w:rsid w:val="00A5686D"/>
    <w:rsid w:val="00A56AE5"/>
    <w:rsid w:val="00A57145"/>
    <w:rsid w:val="00A576F0"/>
    <w:rsid w:val="00A5776D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4600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EC8"/>
    <w:rsid w:val="00B379D6"/>
    <w:rsid w:val="00B407CC"/>
    <w:rsid w:val="00B4207E"/>
    <w:rsid w:val="00B42AD0"/>
    <w:rsid w:val="00B430A7"/>
    <w:rsid w:val="00B47BCC"/>
    <w:rsid w:val="00B50F77"/>
    <w:rsid w:val="00B51CCE"/>
    <w:rsid w:val="00B53338"/>
    <w:rsid w:val="00B536D2"/>
    <w:rsid w:val="00B53C16"/>
    <w:rsid w:val="00B53E93"/>
    <w:rsid w:val="00B54954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076C"/>
    <w:rsid w:val="00B81796"/>
    <w:rsid w:val="00B81A43"/>
    <w:rsid w:val="00B840DC"/>
    <w:rsid w:val="00B916F5"/>
    <w:rsid w:val="00B919EB"/>
    <w:rsid w:val="00B947F6"/>
    <w:rsid w:val="00B96BFB"/>
    <w:rsid w:val="00B97950"/>
    <w:rsid w:val="00BA0198"/>
    <w:rsid w:val="00BA02CD"/>
    <w:rsid w:val="00BA0C76"/>
    <w:rsid w:val="00BA1312"/>
    <w:rsid w:val="00BA2AFE"/>
    <w:rsid w:val="00BA4B7A"/>
    <w:rsid w:val="00BA4BD3"/>
    <w:rsid w:val="00BA4E0C"/>
    <w:rsid w:val="00BA6482"/>
    <w:rsid w:val="00BB1F2D"/>
    <w:rsid w:val="00BB617B"/>
    <w:rsid w:val="00BB635C"/>
    <w:rsid w:val="00BB6EEE"/>
    <w:rsid w:val="00BC0B0E"/>
    <w:rsid w:val="00BC1513"/>
    <w:rsid w:val="00BC1546"/>
    <w:rsid w:val="00BC5A93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5FD2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048A"/>
    <w:rsid w:val="00BF2268"/>
    <w:rsid w:val="00BF4B4C"/>
    <w:rsid w:val="00C00068"/>
    <w:rsid w:val="00C009D5"/>
    <w:rsid w:val="00C052D6"/>
    <w:rsid w:val="00C057F9"/>
    <w:rsid w:val="00C06390"/>
    <w:rsid w:val="00C104E0"/>
    <w:rsid w:val="00C1128C"/>
    <w:rsid w:val="00C11B88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276C7"/>
    <w:rsid w:val="00C317E0"/>
    <w:rsid w:val="00C320DE"/>
    <w:rsid w:val="00C3263C"/>
    <w:rsid w:val="00C3300D"/>
    <w:rsid w:val="00C33889"/>
    <w:rsid w:val="00C34FC4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6303B"/>
    <w:rsid w:val="00C637E6"/>
    <w:rsid w:val="00C63F29"/>
    <w:rsid w:val="00C678CF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3166"/>
    <w:rsid w:val="00CA576C"/>
    <w:rsid w:val="00CA7045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75F6"/>
    <w:rsid w:val="00CD0787"/>
    <w:rsid w:val="00CD3E26"/>
    <w:rsid w:val="00CD4E27"/>
    <w:rsid w:val="00CD5C54"/>
    <w:rsid w:val="00CD664C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7EC"/>
    <w:rsid w:val="00CE6942"/>
    <w:rsid w:val="00CE7080"/>
    <w:rsid w:val="00CE757A"/>
    <w:rsid w:val="00CF0F1B"/>
    <w:rsid w:val="00CF1F5B"/>
    <w:rsid w:val="00CF233C"/>
    <w:rsid w:val="00CF3A34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466"/>
    <w:rsid w:val="00D345CC"/>
    <w:rsid w:val="00D3686C"/>
    <w:rsid w:val="00D430FC"/>
    <w:rsid w:val="00D438CB"/>
    <w:rsid w:val="00D447EA"/>
    <w:rsid w:val="00D50EC2"/>
    <w:rsid w:val="00D5252F"/>
    <w:rsid w:val="00D52669"/>
    <w:rsid w:val="00D53714"/>
    <w:rsid w:val="00D53898"/>
    <w:rsid w:val="00D53C42"/>
    <w:rsid w:val="00D54083"/>
    <w:rsid w:val="00D60E85"/>
    <w:rsid w:val="00D6151A"/>
    <w:rsid w:val="00D6200A"/>
    <w:rsid w:val="00D62BB3"/>
    <w:rsid w:val="00D6390A"/>
    <w:rsid w:val="00D64B6A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87F62"/>
    <w:rsid w:val="00D902B9"/>
    <w:rsid w:val="00D9072D"/>
    <w:rsid w:val="00D91890"/>
    <w:rsid w:val="00D92247"/>
    <w:rsid w:val="00D923B5"/>
    <w:rsid w:val="00D92CF8"/>
    <w:rsid w:val="00D92DCE"/>
    <w:rsid w:val="00D93D68"/>
    <w:rsid w:val="00D95E01"/>
    <w:rsid w:val="00DA055D"/>
    <w:rsid w:val="00DA06EA"/>
    <w:rsid w:val="00DA4DDC"/>
    <w:rsid w:val="00DA5002"/>
    <w:rsid w:val="00DA5626"/>
    <w:rsid w:val="00DA607F"/>
    <w:rsid w:val="00DA6741"/>
    <w:rsid w:val="00DB03DE"/>
    <w:rsid w:val="00DB08D5"/>
    <w:rsid w:val="00DB11D0"/>
    <w:rsid w:val="00DB12BD"/>
    <w:rsid w:val="00DB303E"/>
    <w:rsid w:val="00DB323E"/>
    <w:rsid w:val="00DB3422"/>
    <w:rsid w:val="00DB35B5"/>
    <w:rsid w:val="00DB602E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C42"/>
    <w:rsid w:val="00DE3DDC"/>
    <w:rsid w:val="00DE577F"/>
    <w:rsid w:val="00DE6038"/>
    <w:rsid w:val="00DE6064"/>
    <w:rsid w:val="00DE699B"/>
    <w:rsid w:val="00DF0554"/>
    <w:rsid w:val="00DF2208"/>
    <w:rsid w:val="00DF4A0C"/>
    <w:rsid w:val="00DF50A9"/>
    <w:rsid w:val="00DF5949"/>
    <w:rsid w:val="00DF5AF8"/>
    <w:rsid w:val="00DF6274"/>
    <w:rsid w:val="00DF76B0"/>
    <w:rsid w:val="00E01F51"/>
    <w:rsid w:val="00E036C7"/>
    <w:rsid w:val="00E038F9"/>
    <w:rsid w:val="00E04994"/>
    <w:rsid w:val="00E049F6"/>
    <w:rsid w:val="00E059FB"/>
    <w:rsid w:val="00E10450"/>
    <w:rsid w:val="00E12892"/>
    <w:rsid w:val="00E13CC3"/>
    <w:rsid w:val="00E14573"/>
    <w:rsid w:val="00E16082"/>
    <w:rsid w:val="00E16CD6"/>
    <w:rsid w:val="00E23D00"/>
    <w:rsid w:val="00E24F6E"/>
    <w:rsid w:val="00E257E0"/>
    <w:rsid w:val="00E319B3"/>
    <w:rsid w:val="00E31F67"/>
    <w:rsid w:val="00E32838"/>
    <w:rsid w:val="00E343F7"/>
    <w:rsid w:val="00E346C4"/>
    <w:rsid w:val="00E35DA8"/>
    <w:rsid w:val="00E37034"/>
    <w:rsid w:val="00E41E51"/>
    <w:rsid w:val="00E420A1"/>
    <w:rsid w:val="00E43F18"/>
    <w:rsid w:val="00E4579E"/>
    <w:rsid w:val="00E457CB"/>
    <w:rsid w:val="00E4618D"/>
    <w:rsid w:val="00E47AE4"/>
    <w:rsid w:val="00E47D0A"/>
    <w:rsid w:val="00E47E0F"/>
    <w:rsid w:val="00E50514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2EA2"/>
    <w:rsid w:val="00E7353E"/>
    <w:rsid w:val="00E76FBA"/>
    <w:rsid w:val="00E77885"/>
    <w:rsid w:val="00E80D78"/>
    <w:rsid w:val="00E81050"/>
    <w:rsid w:val="00E81C7D"/>
    <w:rsid w:val="00E84B6E"/>
    <w:rsid w:val="00E85279"/>
    <w:rsid w:val="00E85AFA"/>
    <w:rsid w:val="00E85C1C"/>
    <w:rsid w:val="00E9093E"/>
    <w:rsid w:val="00E92E05"/>
    <w:rsid w:val="00E93181"/>
    <w:rsid w:val="00E9619E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814"/>
    <w:rsid w:val="00F6154C"/>
    <w:rsid w:val="00F61D07"/>
    <w:rsid w:val="00F62665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A1105"/>
    <w:rsid w:val="00FA2317"/>
    <w:rsid w:val="00FA31A6"/>
    <w:rsid w:val="00FA5CF0"/>
    <w:rsid w:val="00FA7570"/>
    <w:rsid w:val="00FA78CB"/>
    <w:rsid w:val="00FB1363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C7870"/>
    <w:rsid w:val="00FD022A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2DF7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E6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685D34"/>
    <w:pPr>
      <w:shd w:val="clear" w:color="auto" w:fill="548DD4"/>
      <w:spacing w:before="0"/>
    </w:pPr>
    <w:rPr>
      <w:rFonts w:asciiTheme="minorHAnsi" w:hAnsiTheme="minorHAnsi"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685D34"/>
    <w:rPr>
      <w:rFonts w:asciiTheme="minorHAnsi" w:eastAsia="Times New Roman" w:hAnsiTheme="minorHAnsi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3E6B1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paragraph">
    <w:name w:val="paragraph"/>
    <w:basedOn w:val="Normalny"/>
    <w:rsid w:val="003E6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u-HU" w:eastAsia="hu-HU"/>
    </w:rPr>
  </w:style>
  <w:style w:type="character" w:customStyle="1" w:styleId="eop">
    <w:name w:val="eop"/>
    <w:basedOn w:val="Domylnaczcionkaakapitu"/>
    <w:rsid w:val="003E6B11"/>
  </w:style>
  <w:style w:type="character" w:customStyle="1" w:styleId="normaltextrun">
    <w:name w:val="normaltextrun"/>
    <w:basedOn w:val="Domylnaczcionkaakapitu"/>
    <w:rsid w:val="003E6B11"/>
  </w:style>
  <w:style w:type="character" w:customStyle="1" w:styleId="wacimagecontainer">
    <w:name w:val="wacimagecontainer"/>
    <w:basedOn w:val="Domylnaczcionkaakapitu"/>
    <w:rsid w:val="003E6B11"/>
  </w:style>
  <w:style w:type="character" w:styleId="Nierozpoznanawzmianka">
    <w:name w:val="Unresolved Mention"/>
    <w:basedOn w:val="Domylnaczcionkaakapitu"/>
    <w:uiPriority w:val="99"/>
    <w:semiHidden/>
    <w:unhideWhenUsed/>
    <w:rsid w:val="0062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ing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xbus.hu/busz/lengyelorsza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mavcsoport.hu/mav-start/nemzetkozi-utazas/lengyelorsz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2</cp:revision>
  <cp:lastPrinted>2024-03-13T10:39:00Z</cp:lastPrinted>
  <dcterms:created xsi:type="dcterms:W3CDTF">2025-12-30T07:03:00Z</dcterms:created>
  <dcterms:modified xsi:type="dcterms:W3CDTF">2025-12-30T07:03:00Z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ba7930a9-19f6-4192-a8d1-fd3073fc9334</vt:lpwstr>
  </property>
</Properties>
</file>